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6419B">
      <w:pPr>
        <w:jc w:val="center"/>
        <w:rPr>
          <w:color w:val="000000" w:themeColor="text1"/>
          <w:sz w:val="48"/>
          <w:szCs w:val="56"/>
          <w14:textFill>
            <w14:solidFill>
              <w14:schemeClr w14:val="tx1"/>
            </w14:solidFill>
          </w14:textFill>
        </w:rPr>
      </w:pPr>
    </w:p>
    <w:p w14:paraId="746EF8D6">
      <w:pPr>
        <w:jc w:val="center"/>
        <w:rPr>
          <w:color w:val="000000" w:themeColor="text1"/>
          <w:sz w:val="48"/>
          <w:szCs w:val="56"/>
          <w14:textFill>
            <w14:solidFill>
              <w14:schemeClr w14:val="tx1"/>
            </w14:solidFill>
          </w14:textFill>
        </w:rPr>
      </w:pPr>
    </w:p>
    <w:p w14:paraId="26203486">
      <w:pPr>
        <w:jc w:val="center"/>
        <w:rPr>
          <w:rFonts w:hint="eastAsia" w:ascii="黑体" w:hAnsi="黑体" w:eastAsia="黑体" w:cs="黑体"/>
          <w:b/>
          <w:bCs/>
          <w:color w:val="000000" w:themeColor="text1"/>
          <w:sz w:val="62"/>
          <w:szCs w:val="62"/>
          <w14:textFill>
            <w14:solidFill>
              <w14:schemeClr w14:val="tx1"/>
            </w14:solidFill>
          </w14:textFill>
        </w:rPr>
      </w:pPr>
      <w:r>
        <w:rPr>
          <w:rFonts w:hint="eastAsia" w:ascii="黑体" w:hAnsi="黑体" w:eastAsia="黑体" w:cs="黑体"/>
          <w:b/>
          <w:bCs/>
          <w:color w:val="000000" w:themeColor="text1"/>
          <w:sz w:val="62"/>
          <w:szCs w:val="62"/>
          <w14:textFill>
            <w14:solidFill>
              <w14:schemeClr w14:val="tx1"/>
            </w14:solidFill>
          </w14:textFill>
        </w:rPr>
        <w:t>专业学位研究生</w:t>
      </w:r>
    </w:p>
    <w:p w14:paraId="26659D90">
      <w:pPr>
        <w:jc w:val="center"/>
        <w:rPr>
          <w:rFonts w:hint="eastAsia" w:ascii="黑体" w:hAnsi="黑体" w:eastAsia="黑体" w:cs="黑体"/>
          <w:b/>
          <w:bCs/>
          <w:color w:val="000000" w:themeColor="text1"/>
          <w:sz w:val="62"/>
          <w:szCs w:val="62"/>
          <w14:textFill>
            <w14:solidFill>
              <w14:schemeClr w14:val="tx1"/>
            </w14:solidFill>
          </w14:textFill>
        </w:rPr>
      </w:pPr>
      <w:r>
        <w:rPr>
          <w:rFonts w:hint="eastAsia" w:ascii="黑体" w:hAnsi="黑体" w:eastAsia="黑体" w:cs="黑体"/>
          <w:b/>
          <w:bCs/>
          <w:color w:val="000000" w:themeColor="text1"/>
          <w:sz w:val="62"/>
          <w:szCs w:val="62"/>
          <w14:textFill>
            <w14:solidFill>
              <w14:schemeClr w14:val="tx1"/>
            </w14:solidFill>
          </w14:textFill>
        </w:rPr>
        <w:t>实践模块和培养环节实施细则</w:t>
      </w:r>
    </w:p>
    <w:p w14:paraId="18A2C5E8">
      <w:pPr>
        <w:jc w:val="center"/>
        <w:rPr>
          <w:color w:val="000000" w:themeColor="text1"/>
          <w:sz w:val="48"/>
          <w:szCs w:val="56"/>
          <w14:textFill>
            <w14:solidFill>
              <w14:schemeClr w14:val="tx1"/>
            </w14:solidFill>
          </w14:textFill>
        </w:rPr>
      </w:pPr>
    </w:p>
    <w:p w14:paraId="06FB6829">
      <w:pPr>
        <w:jc w:val="center"/>
        <w:rPr>
          <w:color w:val="000000" w:themeColor="text1"/>
          <w:sz w:val="48"/>
          <w:szCs w:val="56"/>
          <w14:textFill>
            <w14:solidFill>
              <w14:schemeClr w14:val="tx1"/>
            </w14:solidFill>
          </w14:textFill>
        </w:rPr>
      </w:pPr>
    </w:p>
    <w:p w14:paraId="0A1DEF1B">
      <w:pPr>
        <w:jc w:val="center"/>
        <w:rPr>
          <w:color w:val="000000" w:themeColor="text1"/>
          <w:sz w:val="48"/>
          <w:szCs w:val="56"/>
          <w14:textFill>
            <w14:solidFill>
              <w14:schemeClr w14:val="tx1"/>
            </w14:solidFill>
          </w14:textFill>
        </w:rPr>
      </w:pPr>
    </w:p>
    <w:p w14:paraId="7AD0252E">
      <w:pPr>
        <w:jc w:val="center"/>
        <w:rPr>
          <w:color w:val="000000" w:themeColor="text1"/>
          <w:sz w:val="48"/>
          <w:szCs w:val="56"/>
          <w14:textFill>
            <w14:solidFill>
              <w14:schemeClr w14:val="tx1"/>
            </w14:solidFill>
          </w14:textFill>
        </w:rPr>
      </w:pPr>
    </w:p>
    <w:p w14:paraId="7CA5DCAC">
      <w:pPr>
        <w:jc w:val="center"/>
        <w:rPr>
          <w:color w:val="000000" w:themeColor="text1"/>
          <w:sz w:val="48"/>
          <w:szCs w:val="56"/>
          <w14:textFill>
            <w14:solidFill>
              <w14:schemeClr w14:val="tx1"/>
            </w14:solidFill>
          </w14:textFill>
        </w:rPr>
      </w:pPr>
    </w:p>
    <w:p w14:paraId="753FF067">
      <w:pPr>
        <w:jc w:val="center"/>
        <w:rPr>
          <w:color w:val="000000" w:themeColor="text1"/>
          <w:sz w:val="48"/>
          <w:szCs w:val="56"/>
          <w14:textFill>
            <w14:solidFill>
              <w14:schemeClr w14:val="tx1"/>
            </w14:solidFill>
          </w14:textFill>
        </w:rPr>
      </w:pPr>
    </w:p>
    <w:p w14:paraId="66276D4F">
      <w:pPr>
        <w:jc w:val="center"/>
        <w:rPr>
          <w:color w:val="000000" w:themeColor="text1"/>
          <w:sz w:val="48"/>
          <w:szCs w:val="56"/>
          <w14:textFill>
            <w14:solidFill>
              <w14:schemeClr w14:val="tx1"/>
            </w14:solidFill>
          </w14:textFill>
        </w:rPr>
      </w:pPr>
    </w:p>
    <w:p w14:paraId="18AA8799">
      <w:pPr>
        <w:ind w:firstLine="1080" w:firstLineChars="300"/>
        <w:rPr>
          <w:rFonts w:ascii="Times New Roman" w:hAnsi="Times New Roman" w:cs="Times New Roman"/>
          <w:color w:val="000000" w:themeColor="text1"/>
          <w:sz w:val="36"/>
          <w:szCs w:val="44"/>
          <w:u w:val="single"/>
          <w14:textFill>
            <w14:solidFill>
              <w14:schemeClr w14:val="tx1"/>
            </w14:solidFill>
          </w14:textFill>
        </w:rPr>
      </w:pPr>
      <w:r>
        <w:rPr>
          <w:rFonts w:ascii="Times New Roman" w:hAnsi="Times New Roman" w:cs="Times New Roman"/>
          <w:color w:val="000000" w:themeColor="text1"/>
          <w:sz w:val="36"/>
          <w:szCs w:val="44"/>
          <w14:textFill>
            <w14:solidFill>
              <w14:schemeClr w14:val="tx1"/>
            </w14:solidFill>
          </w14:textFill>
        </w:rPr>
        <w:t>专业学位类别（领域）：</w:t>
      </w:r>
      <w:r>
        <w:rPr>
          <w:rFonts w:ascii="Times New Roman" w:hAnsi="Times New Roman" w:cs="Times New Roman"/>
          <w:color w:val="000000" w:themeColor="text1"/>
          <w:sz w:val="36"/>
          <w:szCs w:val="44"/>
          <w:u w:val="single"/>
          <w14:textFill>
            <w14:solidFill>
              <w14:schemeClr w14:val="tx1"/>
            </w14:solidFill>
          </w14:textFill>
        </w:rPr>
        <w:t xml:space="preserve"> 资源与环境 </w:t>
      </w:r>
    </w:p>
    <w:p w14:paraId="4542D08E">
      <w:pPr>
        <w:ind w:firstLine="1080" w:firstLineChars="300"/>
        <w:rPr>
          <w:rFonts w:ascii="Times New Roman" w:hAnsi="Times New Roman" w:cs="Times New Roman"/>
          <w:color w:val="000000" w:themeColor="text1"/>
          <w:sz w:val="36"/>
          <w:szCs w:val="44"/>
          <w:u w:val="single"/>
          <w14:textFill>
            <w14:solidFill>
              <w14:schemeClr w14:val="tx1"/>
            </w14:solidFill>
          </w14:textFill>
        </w:rPr>
      </w:pPr>
      <w:r>
        <w:rPr>
          <w:rFonts w:ascii="Times New Roman" w:hAnsi="Times New Roman" w:cs="Times New Roman"/>
          <w:color w:val="000000" w:themeColor="text1"/>
          <w:sz w:val="36"/>
          <w:szCs w:val="44"/>
          <w14:textFill>
            <w14:solidFill>
              <w14:schemeClr w14:val="tx1"/>
            </w14:solidFill>
          </w14:textFill>
        </w:rPr>
        <w:t>类别 （领域） 代码：</w:t>
      </w:r>
      <w:r>
        <w:rPr>
          <w:rFonts w:ascii="Times New Roman" w:hAnsi="Times New Roman" w:cs="Times New Roman"/>
          <w:color w:val="000000" w:themeColor="text1"/>
          <w:sz w:val="36"/>
          <w:szCs w:val="44"/>
          <w:u w:val="single"/>
          <w14:textFill>
            <w14:solidFill>
              <w14:schemeClr w14:val="tx1"/>
            </w14:solidFill>
          </w14:textFill>
        </w:rPr>
        <w:t xml:space="preserve">   085700     </w:t>
      </w:r>
    </w:p>
    <w:p w14:paraId="402794EA">
      <w:pPr>
        <w:ind w:firstLine="1080" w:firstLineChars="300"/>
        <w:rPr>
          <w:rFonts w:ascii="Times New Roman" w:hAnsi="Times New Roman" w:cs="Times New Roman"/>
          <w:color w:val="000000" w:themeColor="text1"/>
          <w:sz w:val="36"/>
          <w:szCs w:val="44"/>
          <w14:textFill>
            <w14:solidFill>
              <w14:schemeClr w14:val="tx1"/>
            </w14:solidFill>
          </w14:textFill>
        </w:rPr>
      </w:pPr>
      <w:r>
        <w:rPr>
          <w:rFonts w:ascii="Times New Roman" w:hAnsi="Times New Roman" w:cs="Times New Roman"/>
          <w:color w:val="000000" w:themeColor="text1"/>
          <w:sz w:val="36"/>
          <w:szCs w:val="44"/>
          <w14:textFill>
            <w14:solidFill>
              <w14:schemeClr w14:val="tx1"/>
            </w14:solidFill>
          </w14:textFill>
        </w:rPr>
        <w:t>授   权    级   别：</w:t>
      </w:r>
      <w:r>
        <w:rPr>
          <w:rFonts w:ascii="Times New Roman" w:hAnsi="Times New Roman" w:cs="Times New Roman"/>
          <w:color w:val="000000" w:themeColor="text1"/>
          <w:sz w:val="36"/>
          <w:szCs w:val="44"/>
          <w:u w:val="single"/>
          <w14:textFill>
            <w14:solidFill>
              <w14:schemeClr w14:val="tx1"/>
            </w14:solidFill>
          </w14:textFill>
        </w:rPr>
        <w:t xml:space="preserve">  硕士、博士  </w:t>
      </w:r>
      <w:r>
        <w:rPr>
          <w:rFonts w:ascii="Times New Roman" w:hAnsi="Times New Roman" w:cs="Times New Roman"/>
          <w:color w:val="000000" w:themeColor="text1"/>
          <w:sz w:val="36"/>
          <w:szCs w:val="44"/>
          <w14:textFill>
            <w14:solidFill>
              <w14:schemeClr w14:val="tx1"/>
            </w14:solidFill>
          </w14:textFill>
        </w:rPr>
        <w:t xml:space="preserve">    </w:t>
      </w:r>
    </w:p>
    <w:p w14:paraId="415386F7">
      <w:pPr>
        <w:ind w:firstLine="1080" w:firstLineChars="300"/>
        <w:rPr>
          <w:rFonts w:ascii="Times New Roman" w:hAnsi="Times New Roman" w:cs="Times New Roman"/>
          <w:color w:val="000000" w:themeColor="text1"/>
          <w:sz w:val="36"/>
          <w:szCs w:val="44"/>
          <w14:textFill>
            <w14:solidFill>
              <w14:schemeClr w14:val="tx1"/>
            </w14:solidFill>
          </w14:textFill>
        </w:rPr>
      </w:pPr>
      <w:r>
        <w:rPr>
          <w:rFonts w:ascii="Times New Roman" w:hAnsi="Times New Roman" w:cs="Times New Roman"/>
          <w:color w:val="000000" w:themeColor="text1"/>
          <w:sz w:val="36"/>
          <w:szCs w:val="44"/>
          <w14:textFill>
            <w14:solidFill>
              <w14:schemeClr w14:val="tx1"/>
            </w14:solidFill>
          </w14:textFill>
        </w:rPr>
        <w:t>制   定    日   期：</w:t>
      </w:r>
      <w:r>
        <w:rPr>
          <w:rFonts w:ascii="Times New Roman" w:hAnsi="Times New Roman" w:cs="Times New Roman"/>
          <w:color w:val="000000" w:themeColor="text1"/>
          <w:sz w:val="36"/>
          <w:szCs w:val="44"/>
          <w:u w:val="single"/>
          <w14:textFill>
            <w14:solidFill>
              <w14:schemeClr w14:val="tx1"/>
            </w14:solidFill>
          </w14:textFill>
        </w:rPr>
        <w:t xml:space="preserve">  202</w:t>
      </w:r>
      <w:r>
        <w:rPr>
          <w:rFonts w:hint="eastAsia" w:ascii="Times New Roman" w:hAnsi="Times New Roman" w:cs="Times New Roman"/>
          <w:color w:val="000000" w:themeColor="text1"/>
          <w:sz w:val="36"/>
          <w:szCs w:val="44"/>
          <w:u w:val="single"/>
          <w14:textFill>
            <w14:solidFill>
              <w14:schemeClr w14:val="tx1"/>
            </w14:solidFill>
          </w14:textFill>
        </w:rPr>
        <w:t>5</w:t>
      </w:r>
      <w:r>
        <w:rPr>
          <w:rFonts w:ascii="Times New Roman" w:hAnsi="Times New Roman" w:cs="Times New Roman"/>
          <w:color w:val="000000" w:themeColor="text1"/>
          <w:sz w:val="36"/>
          <w:szCs w:val="44"/>
          <w:u w:val="single"/>
          <w14:textFill>
            <w14:solidFill>
              <w14:schemeClr w14:val="tx1"/>
            </w14:solidFill>
          </w14:textFill>
        </w:rPr>
        <w:t xml:space="preserve">年5月 </w:t>
      </w:r>
      <w:r>
        <w:rPr>
          <w:rFonts w:ascii="Times New Roman" w:hAnsi="Times New Roman" w:cs="Times New Roman"/>
          <w:color w:val="000000" w:themeColor="text1"/>
          <w:sz w:val="36"/>
          <w:szCs w:val="44"/>
          <w14:textFill>
            <w14:solidFill>
              <w14:schemeClr w14:val="tx1"/>
            </w14:solidFill>
          </w14:textFill>
        </w:rPr>
        <w:t xml:space="preserve"> </w:t>
      </w:r>
    </w:p>
    <w:p w14:paraId="7DED1269">
      <w:pPr>
        <w:ind w:firstLine="1800" w:firstLineChars="500"/>
        <w:rPr>
          <w:color w:val="000000" w:themeColor="text1"/>
          <w:sz w:val="36"/>
          <w:szCs w:val="44"/>
          <w14:textFill>
            <w14:solidFill>
              <w14:schemeClr w14:val="tx1"/>
            </w14:solidFill>
          </w14:textFill>
        </w:rPr>
      </w:pPr>
    </w:p>
    <w:p w14:paraId="13CBABDE">
      <w:pPr>
        <w:ind w:firstLine="1800" w:firstLineChars="500"/>
        <w:rPr>
          <w:color w:val="000000" w:themeColor="text1"/>
          <w:sz w:val="36"/>
          <w:szCs w:val="44"/>
          <w14:textFill>
            <w14:solidFill>
              <w14:schemeClr w14:val="tx1"/>
            </w14:solidFill>
          </w14:textFill>
        </w:rPr>
      </w:pPr>
      <w:r>
        <w:rPr>
          <w:rFonts w:hint="eastAsia"/>
          <w:color w:val="000000" w:themeColor="text1"/>
          <w:sz w:val="36"/>
          <w:szCs w:val="44"/>
          <w14:textFill>
            <w14:solidFill>
              <w14:schemeClr w14:val="tx1"/>
            </w14:solidFill>
          </w14:textFill>
        </w:rPr>
        <w:t>学位评定分委员会主席签字：</w:t>
      </w:r>
    </w:p>
    <w:p w14:paraId="453A8DFD">
      <w:pPr>
        <w:ind w:firstLine="1800" w:firstLineChars="500"/>
        <w:rPr>
          <w:color w:val="000000" w:themeColor="text1"/>
          <w:sz w:val="36"/>
          <w:szCs w:val="44"/>
          <w14:textFill>
            <w14:solidFill>
              <w14:schemeClr w14:val="tx1"/>
            </w14:solidFill>
          </w14:textFill>
        </w:rPr>
      </w:pPr>
      <w:r>
        <w:rPr>
          <w:rFonts w:hint="eastAsia"/>
          <w:color w:val="000000" w:themeColor="text1"/>
          <w:sz w:val="36"/>
          <w:szCs w:val="44"/>
          <w14:textFill>
            <w14:solidFill>
              <w14:schemeClr w14:val="tx1"/>
            </w14:solidFill>
          </w14:textFill>
        </w:rPr>
        <w:t>学院（中心）章：</w:t>
      </w:r>
    </w:p>
    <w:p w14:paraId="7D0D6C8B">
      <w:pPr>
        <w:rPr>
          <w:color w:val="000000" w:themeColor="text1"/>
          <w:sz w:val="36"/>
          <w:szCs w:val="44"/>
          <w14:textFill>
            <w14:solidFill>
              <w14:schemeClr w14:val="tx1"/>
            </w14:solidFill>
          </w14:textFill>
        </w:rPr>
      </w:pPr>
    </w:p>
    <w:p w14:paraId="65CC5FEC">
      <w:pPr>
        <w:rPr>
          <w:color w:val="000000" w:themeColor="text1"/>
          <w:sz w:val="36"/>
          <w:szCs w:val="44"/>
          <w14:textFill>
            <w14:solidFill>
              <w14:schemeClr w14:val="tx1"/>
            </w14:solidFill>
          </w14:textFill>
        </w:rPr>
      </w:pPr>
    </w:p>
    <w:p w14:paraId="00E18BA7">
      <w:pPr>
        <w:rPr>
          <w:color w:val="000000" w:themeColor="text1"/>
          <w:sz w:val="36"/>
          <w:szCs w:val="44"/>
          <w14:textFill>
            <w14:solidFill>
              <w14:schemeClr w14:val="tx1"/>
            </w14:solidFill>
          </w14:textFill>
        </w:rPr>
      </w:pPr>
    </w:p>
    <w:p w14:paraId="2CD9CF61">
      <w:pPr>
        <w:jc w:val="center"/>
        <w:rPr>
          <w:rFonts w:hint="eastAsia" w:ascii="黑体" w:hAnsi="黑体" w:eastAsia="黑体" w:cs="黑体"/>
          <w:b/>
          <w:bCs/>
          <w:color w:val="000000" w:themeColor="text1"/>
          <w:sz w:val="48"/>
          <w:szCs w:val="56"/>
          <w14:textFill>
            <w14:solidFill>
              <w14:schemeClr w14:val="tx1"/>
            </w14:solidFill>
          </w14:textFill>
        </w:rPr>
      </w:pPr>
      <w:r>
        <w:rPr>
          <w:rFonts w:hint="eastAsia" w:ascii="黑体" w:hAnsi="黑体" w:eastAsia="黑体" w:cs="黑体"/>
          <w:b/>
          <w:bCs/>
          <w:color w:val="000000" w:themeColor="text1"/>
          <w:sz w:val="48"/>
          <w:szCs w:val="56"/>
          <w14:textFill>
            <w14:solidFill>
              <w14:schemeClr w14:val="tx1"/>
            </w14:solidFill>
          </w14:textFill>
        </w:rPr>
        <w:t>实践模块和培养环节目录</w:t>
      </w:r>
    </w:p>
    <w:p w14:paraId="46647F06">
      <w:pPr>
        <w:rPr>
          <w:color w:val="000000" w:themeColor="text1"/>
          <w:sz w:val="48"/>
          <w:szCs w:val="56"/>
          <w14:textFill>
            <w14:solidFill>
              <w14:schemeClr w14:val="tx1"/>
            </w14:solidFill>
          </w14:textFill>
        </w:rPr>
      </w:pP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2791"/>
        <w:gridCol w:w="2793"/>
        <w:gridCol w:w="1147"/>
      </w:tblGrid>
      <w:tr w14:paraId="6E4E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49" w:type="pct"/>
            <w:vMerge w:val="restart"/>
            <w:vAlign w:val="center"/>
          </w:tcPr>
          <w:p w14:paraId="573C7047">
            <w:pPr>
              <w:jc w:val="center"/>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序号</w:t>
            </w:r>
          </w:p>
        </w:tc>
        <w:tc>
          <w:tcPr>
            <w:tcW w:w="3277" w:type="pct"/>
            <w:gridSpan w:val="2"/>
            <w:vAlign w:val="center"/>
          </w:tcPr>
          <w:p w14:paraId="246A2F9E">
            <w:pPr>
              <w:jc w:val="center"/>
              <w:rPr>
                <w:rFonts w:hint="eastAsia" w:ascii="黑体" w:hAnsi="黑体" w:eastAsia="黑体" w:cs="黑体"/>
                <w:b/>
                <w:bCs/>
                <w:color w:val="000000" w:themeColor="text1"/>
                <w:sz w:val="28"/>
                <w:szCs w:val="28"/>
                <w:lang w:bidi="ar"/>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实践模块和培养环节</w:t>
            </w:r>
          </w:p>
        </w:tc>
        <w:tc>
          <w:tcPr>
            <w:tcW w:w="673" w:type="pct"/>
            <w:vMerge w:val="restart"/>
            <w:vAlign w:val="center"/>
          </w:tcPr>
          <w:p w14:paraId="1FFADEA7">
            <w:pPr>
              <w:jc w:val="center"/>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页码</w:t>
            </w:r>
          </w:p>
        </w:tc>
      </w:tr>
      <w:tr w14:paraId="7617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49" w:type="pct"/>
            <w:vMerge w:val="continue"/>
            <w:vAlign w:val="center"/>
          </w:tcPr>
          <w:p w14:paraId="2F9A07CD">
            <w:pPr>
              <w:jc w:val="center"/>
              <w:rPr>
                <w:rFonts w:hint="eastAsia" w:ascii="黑体" w:hAnsi="黑体" w:eastAsia="黑体" w:cs="黑体"/>
                <w:b/>
                <w:bCs/>
                <w:color w:val="000000" w:themeColor="text1"/>
                <w:sz w:val="28"/>
                <w:szCs w:val="28"/>
                <w:lang w:bidi="ar"/>
                <w14:textFill>
                  <w14:solidFill>
                    <w14:schemeClr w14:val="tx1"/>
                  </w14:solidFill>
                </w14:textFill>
              </w:rPr>
            </w:pPr>
          </w:p>
        </w:tc>
        <w:tc>
          <w:tcPr>
            <w:tcW w:w="1638" w:type="pct"/>
            <w:vAlign w:val="center"/>
          </w:tcPr>
          <w:p w14:paraId="75DA1A5D">
            <w:pPr>
              <w:jc w:val="center"/>
              <w:rPr>
                <w:rFonts w:hint="eastAsia" w:ascii="黑体" w:hAnsi="黑体" w:eastAsia="黑体" w:cs="黑体"/>
                <w:b/>
                <w:bCs/>
                <w:color w:val="000000" w:themeColor="text1"/>
                <w:sz w:val="28"/>
                <w:szCs w:val="28"/>
                <w:lang w:bidi="ar"/>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硕士</w:t>
            </w:r>
          </w:p>
        </w:tc>
        <w:tc>
          <w:tcPr>
            <w:tcW w:w="1639" w:type="pct"/>
            <w:vAlign w:val="center"/>
          </w:tcPr>
          <w:p w14:paraId="4F94660C">
            <w:pPr>
              <w:jc w:val="center"/>
              <w:rPr>
                <w:rFonts w:hint="eastAsia" w:ascii="黑体" w:hAnsi="黑体" w:eastAsia="黑体" w:cs="黑体"/>
                <w:b/>
                <w:bCs/>
                <w:color w:val="000000" w:themeColor="text1"/>
                <w:sz w:val="28"/>
                <w:szCs w:val="28"/>
                <w:lang w:bidi="ar"/>
                <w14:textFill>
                  <w14:solidFill>
                    <w14:schemeClr w14:val="tx1"/>
                  </w14:solidFill>
                </w14:textFill>
              </w:rPr>
            </w:pPr>
            <w:r>
              <w:rPr>
                <w:rFonts w:hint="eastAsia" w:ascii="黑体" w:hAnsi="黑体" w:eastAsia="黑体" w:cs="黑体"/>
                <w:b/>
                <w:bCs/>
                <w:color w:val="000000" w:themeColor="text1"/>
                <w:sz w:val="28"/>
                <w:szCs w:val="28"/>
                <w:lang w:bidi="ar"/>
                <w14:textFill>
                  <w14:solidFill>
                    <w14:schemeClr w14:val="tx1"/>
                  </w14:solidFill>
                </w14:textFill>
              </w:rPr>
              <w:t>博士</w:t>
            </w:r>
          </w:p>
        </w:tc>
        <w:tc>
          <w:tcPr>
            <w:tcW w:w="673" w:type="pct"/>
            <w:vMerge w:val="continue"/>
            <w:vAlign w:val="center"/>
          </w:tcPr>
          <w:p w14:paraId="7723B9C4">
            <w:pPr>
              <w:jc w:val="center"/>
              <w:rPr>
                <w:rFonts w:hint="eastAsia" w:ascii="黑体" w:hAnsi="黑体" w:eastAsia="黑体" w:cs="黑体"/>
                <w:b/>
                <w:bCs/>
                <w:color w:val="000000" w:themeColor="text1"/>
                <w:sz w:val="28"/>
                <w:szCs w:val="28"/>
                <w:lang w:bidi="ar"/>
                <w14:textFill>
                  <w14:solidFill>
                    <w14:schemeClr w14:val="tx1"/>
                  </w14:solidFill>
                </w14:textFill>
              </w:rPr>
            </w:pPr>
          </w:p>
        </w:tc>
      </w:tr>
      <w:tr w14:paraId="4CC7B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4C913116">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一</w:t>
            </w:r>
          </w:p>
        </w:tc>
        <w:tc>
          <w:tcPr>
            <w:tcW w:w="3277" w:type="pct"/>
            <w:gridSpan w:val="2"/>
            <w:vAlign w:val="center"/>
          </w:tcPr>
          <w:p w14:paraId="5B411844">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实践训练（专业实践）</w:t>
            </w:r>
          </w:p>
        </w:tc>
        <w:tc>
          <w:tcPr>
            <w:tcW w:w="673" w:type="pct"/>
            <w:vAlign w:val="center"/>
          </w:tcPr>
          <w:p w14:paraId="6B3E20DC">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1</w:t>
            </w:r>
          </w:p>
        </w:tc>
      </w:tr>
      <w:tr w14:paraId="67E8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4CBCCDCB">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二</w:t>
            </w:r>
          </w:p>
        </w:tc>
        <w:tc>
          <w:tcPr>
            <w:tcW w:w="1638" w:type="pct"/>
            <w:vAlign w:val="center"/>
          </w:tcPr>
          <w:p w14:paraId="5A65F727">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p>
        </w:tc>
        <w:tc>
          <w:tcPr>
            <w:tcW w:w="1638" w:type="pct"/>
            <w:vAlign w:val="center"/>
          </w:tcPr>
          <w:p w14:paraId="51F5E409">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工程领域重大专题研讨</w:t>
            </w:r>
          </w:p>
        </w:tc>
        <w:tc>
          <w:tcPr>
            <w:tcW w:w="673" w:type="pct"/>
            <w:vAlign w:val="center"/>
          </w:tcPr>
          <w:p w14:paraId="01EDF981">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2</w:t>
            </w:r>
          </w:p>
        </w:tc>
      </w:tr>
      <w:tr w14:paraId="48BA7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041FF8D2">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三</w:t>
            </w:r>
          </w:p>
        </w:tc>
        <w:tc>
          <w:tcPr>
            <w:tcW w:w="1638" w:type="pct"/>
            <w:vAlign w:val="center"/>
          </w:tcPr>
          <w:p w14:paraId="769EACAD">
            <w:pPr>
              <w:snapToGrid w:val="0"/>
              <w:jc w:val="center"/>
              <w:rPr>
                <w:color w:val="000000" w:themeColor="text1"/>
                <w:sz w:val="28"/>
                <w:szCs w:val="28"/>
                <w14:textFill>
                  <w14:solidFill>
                    <w14:schemeClr w14:val="tx1"/>
                  </w14:solidFill>
                </w14:textFill>
              </w:rPr>
            </w:pPr>
          </w:p>
          <w:p w14:paraId="7E376776">
            <w:pPr>
              <w:jc w:val="center"/>
              <w:rPr>
                <w:color w:val="000000" w:themeColor="text1"/>
                <w:sz w:val="28"/>
                <w:szCs w:val="28"/>
                <w14:textFill>
                  <w14:solidFill>
                    <w14:schemeClr w14:val="tx1"/>
                  </w14:solidFill>
                </w14:textFill>
              </w:rPr>
            </w:pPr>
          </w:p>
        </w:tc>
        <w:tc>
          <w:tcPr>
            <w:tcW w:w="1639" w:type="pct"/>
            <w:vAlign w:val="center"/>
          </w:tcPr>
          <w:p w14:paraId="3D43C2B0">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学科综合考试</w:t>
            </w:r>
          </w:p>
        </w:tc>
        <w:tc>
          <w:tcPr>
            <w:tcW w:w="673" w:type="pct"/>
            <w:vAlign w:val="center"/>
          </w:tcPr>
          <w:p w14:paraId="40C76A4F">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3</w:t>
            </w:r>
          </w:p>
        </w:tc>
      </w:tr>
      <w:tr w14:paraId="07832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2B91860B">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四</w:t>
            </w:r>
          </w:p>
        </w:tc>
        <w:tc>
          <w:tcPr>
            <w:tcW w:w="1638" w:type="pct"/>
            <w:vAlign w:val="center"/>
          </w:tcPr>
          <w:p w14:paraId="17EFD615">
            <w:pPr>
              <w:snapToGrid w:val="0"/>
              <w:jc w:val="center"/>
              <w:rPr>
                <w:color w:val="000000" w:themeColor="text1"/>
                <w:sz w:val="28"/>
                <w:szCs w:val="28"/>
                <w14:textFill>
                  <w14:solidFill>
                    <w14:schemeClr w14:val="tx1"/>
                  </w14:solidFill>
                </w14:textFill>
              </w:rPr>
            </w:pPr>
          </w:p>
          <w:p w14:paraId="256F1B17">
            <w:pPr>
              <w:jc w:val="center"/>
              <w:rPr>
                <w:color w:val="000000" w:themeColor="text1"/>
                <w:sz w:val="28"/>
                <w:szCs w:val="28"/>
                <w14:textFill>
                  <w14:solidFill>
                    <w14:schemeClr w14:val="tx1"/>
                  </w14:solidFill>
                </w14:textFill>
              </w:rPr>
            </w:pPr>
          </w:p>
        </w:tc>
        <w:tc>
          <w:tcPr>
            <w:tcW w:w="1639" w:type="pct"/>
            <w:vAlign w:val="center"/>
          </w:tcPr>
          <w:p w14:paraId="1417DC57">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开题报告</w:t>
            </w:r>
          </w:p>
        </w:tc>
        <w:tc>
          <w:tcPr>
            <w:tcW w:w="673" w:type="pct"/>
            <w:vAlign w:val="center"/>
          </w:tcPr>
          <w:p w14:paraId="1BD1869F">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5</w:t>
            </w:r>
          </w:p>
        </w:tc>
      </w:tr>
      <w:tr w14:paraId="6FE7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00D87475">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五</w:t>
            </w:r>
          </w:p>
        </w:tc>
        <w:tc>
          <w:tcPr>
            <w:tcW w:w="1638" w:type="pct"/>
            <w:vAlign w:val="center"/>
          </w:tcPr>
          <w:p w14:paraId="41F762F3">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开题审核</w:t>
            </w:r>
          </w:p>
        </w:tc>
        <w:tc>
          <w:tcPr>
            <w:tcW w:w="1639" w:type="pct"/>
            <w:vAlign w:val="center"/>
          </w:tcPr>
          <w:p w14:paraId="7950909C">
            <w:pPr>
              <w:snapToGrid w:val="0"/>
              <w:jc w:val="center"/>
              <w:rPr>
                <w:rFonts w:ascii="Calibri" w:hAnsi="Calibri" w:eastAsia="宋体" w:cs="Times New Roman"/>
                <w:color w:val="000000" w:themeColor="text1"/>
                <w:sz w:val="28"/>
                <w:szCs w:val="28"/>
                <w:lang w:bidi="ar"/>
                <w14:textFill>
                  <w14:solidFill>
                    <w14:schemeClr w14:val="tx1"/>
                  </w14:solidFill>
                </w14:textFill>
              </w:rPr>
            </w:pPr>
          </w:p>
          <w:p w14:paraId="4C0FAE7C">
            <w:pPr>
              <w:jc w:val="center"/>
              <w:rPr>
                <w:rFonts w:ascii="Calibri" w:hAnsi="Calibri" w:eastAsia="宋体" w:cs="Times New Roman"/>
                <w:color w:val="000000" w:themeColor="text1"/>
                <w:sz w:val="28"/>
                <w:szCs w:val="28"/>
                <w:lang w:bidi="ar"/>
                <w14:textFill>
                  <w14:solidFill>
                    <w14:schemeClr w14:val="tx1"/>
                  </w14:solidFill>
                </w14:textFill>
              </w:rPr>
            </w:pPr>
          </w:p>
        </w:tc>
        <w:tc>
          <w:tcPr>
            <w:tcW w:w="673" w:type="pct"/>
            <w:vAlign w:val="center"/>
          </w:tcPr>
          <w:p w14:paraId="5170EF1B">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7</w:t>
            </w:r>
          </w:p>
        </w:tc>
      </w:tr>
      <w:tr w14:paraId="44EA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293FDBB5">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六</w:t>
            </w:r>
          </w:p>
        </w:tc>
        <w:tc>
          <w:tcPr>
            <w:tcW w:w="1638" w:type="pct"/>
            <w:vAlign w:val="center"/>
          </w:tcPr>
          <w:p w14:paraId="5F1CD677">
            <w:pPr>
              <w:widowControl/>
              <w:snapToGrid w:val="0"/>
              <w:jc w:val="center"/>
              <w:rPr>
                <w:rFonts w:ascii="Calibri" w:hAnsi="Calibri" w:eastAsia="宋体" w:cs="Times New Roman"/>
                <w:color w:val="000000" w:themeColor="text1"/>
                <w:sz w:val="28"/>
                <w:szCs w:val="28"/>
                <w:lang w:bidi="ar"/>
                <w14:textFill>
                  <w14:solidFill>
                    <w14:schemeClr w14:val="tx1"/>
                  </w14:solidFill>
                </w14:textFill>
              </w:rPr>
            </w:pPr>
          </w:p>
          <w:p w14:paraId="2788E26C">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p>
        </w:tc>
        <w:tc>
          <w:tcPr>
            <w:tcW w:w="1639" w:type="pct"/>
            <w:vAlign w:val="center"/>
          </w:tcPr>
          <w:p w14:paraId="4DDE34CE">
            <w:pPr>
              <w:widowControl/>
              <w:spacing w:line="320" w:lineRule="exact"/>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工程技术结题报告</w:t>
            </w:r>
          </w:p>
        </w:tc>
        <w:tc>
          <w:tcPr>
            <w:tcW w:w="673" w:type="pct"/>
            <w:vAlign w:val="center"/>
          </w:tcPr>
          <w:p w14:paraId="1DAF5F28">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9</w:t>
            </w:r>
          </w:p>
        </w:tc>
      </w:tr>
      <w:tr w14:paraId="25E0E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55C14CF0">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七</w:t>
            </w:r>
          </w:p>
        </w:tc>
        <w:tc>
          <w:tcPr>
            <w:tcW w:w="1638" w:type="pct"/>
            <w:vAlign w:val="center"/>
          </w:tcPr>
          <w:p w14:paraId="22A3C60D">
            <w:pPr>
              <w:snapToGrid w:val="0"/>
              <w:jc w:val="center"/>
              <w:rPr>
                <w:color w:val="000000" w:themeColor="text1"/>
                <w:sz w:val="28"/>
                <w:szCs w:val="28"/>
                <w14:textFill>
                  <w14:solidFill>
                    <w14:schemeClr w14:val="tx1"/>
                  </w14:solidFill>
                </w14:textFill>
              </w:rPr>
            </w:pPr>
          </w:p>
          <w:p w14:paraId="7030EF48">
            <w:pPr>
              <w:jc w:val="center"/>
              <w:rPr>
                <w:color w:val="000000" w:themeColor="text1"/>
                <w:sz w:val="28"/>
                <w:szCs w:val="28"/>
                <w14:textFill>
                  <w14:solidFill>
                    <w14:schemeClr w14:val="tx1"/>
                  </w14:solidFill>
                </w14:textFill>
              </w:rPr>
            </w:pPr>
          </w:p>
        </w:tc>
        <w:tc>
          <w:tcPr>
            <w:tcW w:w="1639" w:type="pct"/>
            <w:vAlign w:val="center"/>
          </w:tcPr>
          <w:p w14:paraId="5C06A50C">
            <w:pPr>
              <w:jc w:val="center"/>
              <w:rPr>
                <w:color w:val="000000" w:themeColor="text1"/>
                <w:sz w:val="28"/>
                <w:szCs w:val="28"/>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学位论文预答辩</w:t>
            </w:r>
          </w:p>
        </w:tc>
        <w:tc>
          <w:tcPr>
            <w:tcW w:w="673" w:type="pct"/>
            <w:vAlign w:val="center"/>
          </w:tcPr>
          <w:p w14:paraId="498C426F">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11</w:t>
            </w:r>
          </w:p>
        </w:tc>
      </w:tr>
      <w:tr w14:paraId="3D03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5E5857EF">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八</w:t>
            </w:r>
          </w:p>
        </w:tc>
        <w:tc>
          <w:tcPr>
            <w:tcW w:w="3277" w:type="pct"/>
            <w:gridSpan w:val="2"/>
            <w:vAlign w:val="center"/>
          </w:tcPr>
          <w:p w14:paraId="2E478F67">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学位论文答辩</w:t>
            </w:r>
          </w:p>
        </w:tc>
        <w:tc>
          <w:tcPr>
            <w:tcW w:w="673" w:type="pct"/>
            <w:vAlign w:val="center"/>
          </w:tcPr>
          <w:p w14:paraId="24798B88">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lang w:bidi="ar"/>
                <w14:textFill>
                  <w14:solidFill>
                    <w14:schemeClr w14:val="tx1"/>
                  </w14:solidFill>
                </w14:textFill>
              </w:rPr>
              <w:t>13</w:t>
            </w:r>
          </w:p>
        </w:tc>
      </w:tr>
      <w:tr w14:paraId="532E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049" w:type="pct"/>
            <w:vAlign w:val="center"/>
          </w:tcPr>
          <w:p w14:paraId="57191F9D">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附件</w:t>
            </w:r>
            <w:r>
              <w:rPr>
                <w:rFonts w:ascii="Times New Roman" w:hAnsi="Times New Roman" w:eastAsia="宋体" w:cs="Times New Roman"/>
                <w:color w:val="000000" w:themeColor="text1"/>
                <w:sz w:val="28"/>
                <w:szCs w:val="28"/>
                <w:lang w:bidi="ar"/>
                <w14:textFill>
                  <w14:solidFill>
                    <w14:schemeClr w14:val="tx1"/>
                  </w14:solidFill>
                </w14:textFill>
              </w:rPr>
              <w:t>1-8</w:t>
            </w:r>
          </w:p>
        </w:tc>
        <w:tc>
          <w:tcPr>
            <w:tcW w:w="3277" w:type="pct"/>
            <w:gridSpan w:val="2"/>
            <w:vAlign w:val="center"/>
          </w:tcPr>
          <w:p w14:paraId="60EDC182">
            <w:pPr>
              <w:jc w:val="cente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实践模块和培养</w:t>
            </w:r>
            <w:r>
              <w:rPr>
                <w:rFonts w:ascii="Calibri" w:hAnsi="Calibri" w:eastAsia="宋体" w:cs="Times New Roman"/>
                <w:color w:val="000000" w:themeColor="text1"/>
                <w:sz w:val="28"/>
                <w:szCs w:val="28"/>
                <w:lang w:bidi="ar"/>
                <w14:textFill>
                  <w14:solidFill>
                    <w14:schemeClr w14:val="tx1"/>
                  </w14:solidFill>
                </w14:textFill>
              </w:rPr>
              <w:t>环节表格</w:t>
            </w:r>
          </w:p>
        </w:tc>
        <w:tc>
          <w:tcPr>
            <w:tcW w:w="673" w:type="pct"/>
            <w:vAlign w:val="center"/>
          </w:tcPr>
          <w:p w14:paraId="1D9BCCFB">
            <w:pPr>
              <w:jc w:val="center"/>
              <w:rPr>
                <w:rFonts w:ascii="Times New Roman" w:hAnsi="Times New Roman" w:eastAsia="宋体" w:cs="Times New Roman"/>
                <w:color w:val="000000" w:themeColor="text1"/>
                <w:sz w:val="28"/>
                <w:szCs w:val="28"/>
                <w:lang w:bidi="ar"/>
                <w14:textFill>
                  <w14:solidFill>
                    <w14:schemeClr w14:val="tx1"/>
                  </w14:solidFill>
                </w14:textFill>
              </w:rPr>
            </w:pPr>
            <w:r>
              <w:rPr>
                <w:rFonts w:hint="eastAsia" w:ascii="Times New Roman" w:hAnsi="Times New Roman" w:eastAsia="宋体" w:cs="Times New Roman"/>
                <w:color w:val="000000" w:themeColor="text1"/>
                <w:sz w:val="28"/>
                <w:szCs w:val="28"/>
                <w:lang w:bidi="ar"/>
                <w14:textFill>
                  <w14:solidFill>
                    <w14:schemeClr w14:val="tx1"/>
                  </w14:solidFill>
                </w14:textFill>
              </w:rPr>
              <w:t>1</w:t>
            </w:r>
            <w:r>
              <w:rPr>
                <w:rFonts w:ascii="Times New Roman" w:hAnsi="Times New Roman" w:eastAsia="宋体" w:cs="Times New Roman"/>
                <w:color w:val="000000" w:themeColor="text1"/>
                <w:sz w:val="28"/>
                <w:szCs w:val="28"/>
                <w:lang w:bidi="ar"/>
                <w14:textFill>
                  <w14:solidFill>
                    <w14:schemeClr w14:val="tx1"/>
                  </w14:solidFill>
                </w14:textFill>
              </w:rPr>
              <w:t>5</w:t>
            </w:r>
          </w:p>
        </w:tc>
      </w:tr>
    </w:tbl>
    <w:p w14:paraId="66AC19BF">
      <w:pPr>
        <w:ind w:firstLine="560" w:firstLineChars="200"/>
        <w:rPr>
          <w:color w:val="000000" w:themeColor="text1"/>
          <w:sz w:val="28"/>
          <w:szCs w:val="28"/>
          <w14:textFill>
            <w14:solidFill>
              <w14:schemeClr w14:val="tx1"/>
            </w14:solidFill>
          </w14:textFill>
        </w:rPr>
        <w:sectPr>
          <w:footerReference r:id="rId3" w:type="default"/>
          <w:pgSz w:w="11906" w:h="16838"/>
          <w:pgMar w:top="1440" w:right="1800" w:bottom="1440" w:left="1800" w:header="851" w:footer="992" w:gutter="0"/>
          <w:cols w:space="425" w:num="1"/>
          <w:docGrid w:type="lines" w:linePitch="312" w:charSpace="0"/>
        </w:sectPr>
      </w:pPr>
    </w:p>
    <w:p w14:paraId="5E157497">
      <w:pPr>
        <w:widowControl/>
        <w:jc w:val="left"/>
        <w:rPr>
          <w:color w:val="000000" w:themeColor="text1"/>
          <w:sz w:val="28"/>
          <w:szCs w:val="28"/>
          <w14:textFill>
            <w14:solidFill>
              <w14:schemeClr w14:val="tx1"/>
            </w14:solidFill>
          </w14:textFill>
        </w:rPr>
        <w:sectPr>
          <w:footerReference r:id="rId4" w:type="default"/>
          <w:pgSz w:w="11906" w:h="16838"/>
          <w:pgMar w:top="1440" w:right="1800" w:bottom="1440" w:left="1800" w:header="851" w:footer="992" w:gutter="0"/>
          <w:cols w:space="425" w:num="1"/>
          <w:docGrid w:type="lines" w:linePitch="312" w:charSpace="0"/>
        </w:sectPr>
      </w:pPr>
    </w:p>
    <w:p w14:paraId="3522E9AA">
      <w:pPr>
        <w:widowControl/>
        <w:ind w:firstLine="560" w:firstLineChars="200"/>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资源与环境专业学位类别按照学校要求，结合本专业学位类别（领域）实际，制定本实施细则，现将具体事项规定如下：</w:t>
      </w:r>
    </w:p>
    <w:p w14:paraId="6997D2B7">
      <w:pPr>
        <w:jc w:val="left"/>
        <w:rPr>
          <w:b/>
          <w:bCs/>
          <w:color w:val="000000" w:themeColor="text1"/>
          <w:sz w:val="28"/>
          <w:szCs w:val="28"/>
          <w14:textFill>
            <w14:solidFill>
              <w14:schemeClr w14:val="tx1"/>
            </w14:solidFill>
          </w14:textFill>
        </w:rPr>
      </w:pPr>
    </w:p>
    <w:p w14:paraId="13A0FDB7">
      <w:pPr>
        <w:jc w:val="left"/>
        <w:rPr>
          <w:b/>
          <w:bCs/>
          <w:color w:val="000000" w:themeColor="text1"/>
          <w:sz w:val="32"/>
          <w:szCs w:val="28"/>
          <w14:textFill>
            <w14:solidFill>
              <w14:schemeClr w14:val="tx1"/>
            </w14:solidFill>
          </w14:textFill>
        </w:rPr>
      </w:pPr>
      <w:r>
        <w:rPr>
          <w:rFonts w:hint="eastAsia"/>
          <w:b/>
          <w:bCs/>
          <w:color w:val="000000" w:themeColor="text1"/>
          <w:sz w:val="32"/>
          <w:szCs w:val="28"/>
          <w14:textFill>
            <w14:solidFill>
              <w14:schemeClr w14:val="tx1"/>
            </w14:solidFill>
          </w14:textFill>
        </w:rPr>
        <w:t>一、实践训练（专业实践）</w:t>
      </w:r>
    </w:p>
    <w:p w14:paraId="57C3D783">
      <w:pPr>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（一）考核内容</w:t>
      </w:r>
    </w:p>
    <w:p w14:paraId="55A55C29">
      <w:pPr>
        <w:ind w:firstLine="560" w:firstLineChars="200"/>
        <w:rPr>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进入行业领域进行充分的、高质量的专业实践。可采用集中实践与分段实践相结合的方式；具有2年及以上企业工作经历的全日制专硕生专业实践应不少于6个月，不具有2年企业工作经历的全日制专硕生专业实践时间应不少于1年，全日制博士专业实践时间应不少于2年；非全日制研究生专业实践可结合自身工作岗位任务开展。</w:t>
      </w:r>
    </w:p>
    <w:p w14:paraId="27280BE5">
      <w:pPr>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（二）考核时间、方式</w:t>
      </w:r>
    </w:p>
    <w:p w14:paraId="30A6D5B6">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考核时间：硕士第</w:t>
      </w:r>
      <w:r>
        <w:rPr>
          <w:rFonts w:ascii="Times New Roman" w:hAnsi="Times New Roman" w:cs="Times New Roman"/>
          <w:color w:val="000000" w:themeColor="text1"/>
          <w:sz w:val="28"/>
          <w:szCs w:val="28"/>
          <w14:textFill>
            <w14:solidFill>
              <w14:schemeClr w14:val="tx1"/>
            </w14:solidFill>
          </w14:textFill>
        </w:rPr>
        <w:t>5</w:t>
      </w:r>
      <w:r>
        <w:rPr>
          <w:rFonts w:hint="eastAsia" w:ascii="Times New Roman" w:hAnsi="Times New Roman" w:cs="Times New Roman"/>
          <w:color w:val="000000" w:themeColor="text1"/>
          <w:sz w:val="28"/>
          <w:szCs w:val="28"/>
          <w14:textFill>
            <w14:solidFill>
              <w14:schemeClr w14:val="tx1"/>
            </w14:solidFill>
          </w14:textFill>
        </w:rPr>
        <w:t>学期前、博士第</w:t>
      </w:r>
      <w:r>
        <w:rPr>
          <w:rFonts w:ascii="Times New Roman" w:hAnsi="Times New Roman" w:cs="Times New Roman"/>
          <w:color w:val="000000" w:themeColor="text1"/>
          <w:sz w:val="28"/>
          <w:szCs w:val="28"/>
          <w14:textFill>
            <w14:solidFill>
              <w14:schemeClr w14:val="tx1"/>
            </w14:solidFill>
          </w14:textFill>
        </w:rPr>
        <w:t>7</w:t>
      </w:r>
      <w:r>
        <w:rPr>
          <w:rFonts w:hint="eastAsia" w:ascii="Times New Roman" w:hAnsi="Times New Roman" w:cs="Times New Roman"/>
          <w:color w:val="000000" w:themeColor="text1"/>
          <w:sz w:val="28"/>
          <w:szCs w:val="28"/>
          <w14:textFill>
            <w14:solidFill>
              <w14:schemeClr w14:val="tx1"/>
            </w14:solidFill>
          </w14:textFill>
        </w:rPr>
        <w:t>学期前。</w:t>
      </w:r>
    </w:p>
    <w:p w14:paraId="3D1741DA">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考核方式：学生提交</w:t>
      </w:r>
      <w:r>
        <w:rPr>
          <w:rFonts w:ascii="Times New Roman" w:hAnsi="Times New Roman" w:cs="Times New Roman"/>
          <w:color w:val="000000" w:themeColor="text1"/>
          <w:sz w:val="28"/>
          <w:szCs w:val="28"/>
          <w14:textFill>
            <w14:solidFill>
              <w14:schemeClr w14:val="tx1"/>
            </w14:solidFill>
          </w14:textFill>
        </w:rPr>
        <w:t>《中国海洋大学专业学位研究生实践训练总结报告》，</w:t>
      </w:r>
      <w:r>
        <w:rPr>
          <w:rFonts w:ascii="Times New Roman" w:hAnsi="Times New Roman" w:eastAsia="宋体" w:cs="Times New Roman"/>
          <w:color w:val="000000" w:themeColor="text1"/>
          <w:sz w:val="28"/>
          <w:szCs w:val="28"/>
          <w14:textFill>
            <w14:solidFill>
              <w14:schemeClr w14:val="tx1"/>
            </w14:solidFill>
          </w14:textFill>
        </w:rPr>
        <w:t>需包括实践训练内容与进度安排；实践训练成果清单；实践总结报告正文（不少于3000字）。导师（组）审核通过或者不通过，考核通过者计6学分，学院审核意见。</w:t>
      </w:r>
    </w:p>
    <w:p w14:paraId="21DFF63B">
      <w:pPr>
        <w:jc w:val="left"/>
        <w:rPr>
          <w:color w:val="000000" w:themeColor="text1"/>
          <w:sz w:val="28"/>
          <w:szCs w:val="28"/>
          <w14:textFill>
            <w14:solidFill>
              <w14:schemeClr w14:val="tx1"/>
            </w14:solidFill>
          </w14:textFill>
        </w:rPr>
      </w:pPr>
    </w:p>
    <w:p w14:paraId="4F23A073">
      <w:pPr>
        <w:jc w:val="left"/>
        <w:rPr>
          <w:color w:val="000000" w:themeColor="text1"/>
          <w:sz w:val="28"/>
          <w:szCs w:val="28"/>
          <w14:textFill>
            <w14:solidFill>
              <w14:schemeClr w14:val="tx1"/>
            </w14:solidFill>
          </w14:textFill>
        </w:rPr>
      </w:pPr>
    </w:p>
    <w:p w14:paraId="1E99EAAF">
      <w:pPr>
        <w:jc w:val="left"/>
        <w:rPr>
          <w:color w:val="000000" w:themeColor="text1"/>
          <w:sz w:val="28"/>
          <w:szCs w:val="28"/>
          <w14:textFill>
            <w14:solidFill>
              <w14:schemeClr w14:val="tx1"/>
            </w14:solidFill>
          </w14:textFill>
        </w:rPr>
      </w:pPr>
    </w:p>
    <w:p w14:paraId="25084758">
      <w:pPr>
        <w:jc w:val="center"/>
        <w:rPr>
          <w:b/>
          <w:bCs/>
          <w:color w:val="000000" w:themeColor="text1"/>
          <w:sz w:val="32"/>
          <w:szCs w:val="28"/>
          <w14:textFill>
            <w14:solidFill>
              <w14:schemeClr w14:val="tx1"/>
            </w14:solidFill>
          </w14:textFill>
        </w:rPr>
      </w:pPr>
    </w:p>
    <w:p w14:paraId="2CCB1EB3">
      <w:pPr>
        <w:jc w:val="center"/>
        <w:rPr>
          <w:b/>
          <w:bCs/>
          <w:color w:val="000000" w:themeColor="text1"/>
          <w:sz w:val="32"/>
          <w:szCs w:val="28"/>
          <w14:textFill>
            <w14:solidFill>
              <w14:schemeClr w14:val="tx1"/>
            </w14:solidFill>
          </w14:textFill>
        </w:rPr>
      </w:pPr>
    </w:p>
    <w:p w14:paraId="560E577C">
      <w:pPr>
        <w:jc w:val="center"/>
        <w:rPr>
          <w:b/>
          <w:bCs/>
          <w:color w:val="000000" w:themeColor="text1"/>
          <w:sz w:val="32"/>
          <w:szCs w:val="28"/>
          <w14:textFill>
            <w14:solidFill>
              <w14:schemeClr w14:val="tx1"/>
            </w14:solidFill>
          </w14:textFill>
        </w:rPr>
      </w:pPr>
    </w:p>
    <w:p w14:paraId="3B7D7F98">
      <w:pPr>
        <w:rPr>
          <w:b/>
          <w:bCs/>
          <w:color w:val="000000" w:themeColor="text1"/>
          <w:sz w:val="32"/>
          <w:szCs w:val="28"/>
          <w14:textFill>
            <w14:solidFill>
              <w14:schemeClr w14:val="tx1"/>
            </w14:solidFill>
          </w14:textFill>
        </w:rPr>
      </w:pPr>
      <w:r>
        <w:rPr>
          <w:rFonts w:hint="eastAsia"/>
          <w:b/>
          <w:bCs/>
          <w:color w:val="000000" w:themeColor="text1"/>
          <w:sz w:val="32"/>
          <w:szCs w:val="28"/>
          <w14:textFill>
            <w14:solidFill>
              <w14:schemeClr w14:val="tx1"/>
            </w14:solidFill>
          </w14:textFill>
        </w:rPr>
        <w:t>二、工程领域重大专题研讨</w:t>
      </w:r>
    </w:p>
    <w:p w14:paraId="1711E797">
      <w:pPr>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（一）考核内容</w:t>
      </w:r>
    </w:p>
    <w:p w14:paraId="0E4CCAD0">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研究生在读期间全程参与相关专业重大工程项目的专题讨论或组织学术论坛至少一次，并做报告。</w:t>
      </w:r>
    </w:p>
    <w:p w14:paraId="567D9705">
      <w:pPr>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（二）考核时间、方式</w:t>
      </w:r>
    </w:p>
    <w:p w14:paraId="7DE6C26C">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考</w:t>
      </w:r>
      <w:r>
        <w:rPr>
          <w:rFonts w:ascii="Times New Roman" w:hAnsi="Times New Roman" w:cs="Times New Roman"/>
          <w:color w:val="000000" w:themeColor="text1"/>
          <w:sz w:val="28"/>
          <w:szCs w:val="28"/>
          <w14:textFill>
            <w14:solidFill>
              <w14:schemeClr w14:val="tx1"/>
            </w14:solidFill>
          </w14:textFill>
        </w:rPr>
        <w:t>核时间：毕业资格审查前。</w:t>
      </w:r>
    </w:p>
    <w:p w14:paraId="01DEAEDE">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考核方式：学生提交《中国海洋大学研究生工程领域重大专题研讨活动审核表》，导师（组）审核通过或者不通过，通过者给予1学分，学院审核意见。</w:t>
      </w:r>
    </w:p>
    <w:p w14:paraId="58890E1D">
      <w:pPr>
        <w:jc w:val="left"/>
        <w:rPr>
          <w:color w:val="000000" w:themeColor="text1"/>
          <w:sz w:val="28"/>
          <w:szCs w:val="28"/>
          <w14:textFill>
            <w14:solidFill>
              <w14:schemeClr w14:val="tx1"/>
            </w14:solidFill>
          </w14:textFill>
        </w:rPr>
      </w:pPr>
    </w:p>
    <w:p w14:paraId="67C3209D">
      <w:pPr>
        <w:jc w:val="left"/>
        <w:rPr>
          <w:color w:val="000000" w:themeColor="text1"/>
          <w:sz w:val="28"/>
          <w:szCs w:val="28"/>
          <w14:textFill>
            <w14:solidFill>
              <w14:schemeClr w14:val="tx1"/>
            </w14:solidFill>
          </w14:textFill>
        </w:rPr>
      </w:pPr>
    </w:p>
    <w:p w14:paraId="3E11F1AD">
      <w:pPr>
        <w:jc w:val="left"/>
        <w:rPr>
          <w:color w:val="000000" w:themeColor="text1"/>
          <w:sz w:val="28"/>
          <w:szCs w:val="28"/>
          <w14:textFill>
            <w14:solidFill>
              <w14:schemeClr w14:val="tx1"/>
            </w14:solidFill>
          </w14:textFill>
        </w:rPr>
      </w:pPr>
    </w:p>
    <w:p w14:paraId="30FBAF3B">
      <w:pPr>
        <w:jc w:val="left"/>
        <w:rPr>
          <w:color w:val="000000" w:themeColor="text1"/>
          <w:sz w:val="28"/>
          <w:szCs w:val="28"/>
          <w14:textFill>
            <w14:solidFill>
              <w14:schemeClr w14:val="tx1"/>
            </w14:solidFill>
          </w14:textFill>
        </w:rPr>
      </w:pPr>
    </w:p>
    <w:p w14:paraId="5D1AF211">
      <w:pPr>
        <w:jc w:val="left"/>
        <w:rPr>
          <w:color w:val="000000" w:themeColor="text1"/>
          <w:sz w:val="28"/>
          <w:szCs w:val="28"/>
          <w14:textFill>
            <w14:solidFill>
              <w14:schemeClr w14:val="tx1"/>
            </w14:solidFill>
          </w14:textFill>
        </w:rPr>
      </w:pPr>
    </w:p>
    <w:p w14:paraId="6B03459C">
      <w:pPr>
        <w:jc w:val="left"/>
        <w:rPr>
          <w:color w:val="000000" w:themeColor="text1"/>
          <w:sz w:val="28"/>
          <w:szCs w:val="28"/>
          <w14:textFill>
            <w14:solidFill>
              <w14:schemeClr w14:val="tx1"/>
            </w14:solidFill>
          </w14:textFill>
        </w:rPr>
      </w:pPr>
    </w:p>
    <w:p w14:paraId="450A543C">
      <w:pPr>
        <w:jc w:val="left"/>
        <w:rPr>
          <w:color w:val="000000" w:themeColor="text1"/>
          <w:sz w:val="28"/>
          <w:szCs w:val="28"/>
          <w14:textFill>
            <w14:solidFill>
              <w14:schemeClr w14:val="tx1"/>
            </w14:solidFill>
          </w14:textFill>
        </w:rPr>
      </w:pPr>
    </w:p>
    <w:p w14:paraId="73DB1C00">
      <w:pPr>
        <w:jc w:val="left"/>
        <w:rPr>
          <w:color w:val="000000" w:themeColor="text1"/>
          <w:sz w:val="28"/>
          <w:szCs w:val="28"/>
          <w14:textFill>
            <w14:solidFill>
              <w14:schemeClr w14:val="tx1"/>
            </w14:solidFill>
          </w14:textFill>
        </w:rPr>
      </w:pPr>
    </w:p>
    <w:p w14:paraId="141F4561">
      <w:pPr>
        <w:jc w:val="left"/>
        <w:rPr>
          <w:color w:val="000000" w:themeColor="text1"/>
          <w:sz w:val="28"/>
          <w:szCs w:val="28"/>
          <w14:textFill>
            <w14:solidFill>
              <w14:schemeClr w14:val="tx1"/>
            </w14:solidFill>
          </w14:textFill>
        </w:rPr>
      </w:pPr>
    </w:p>
    <w:p w14:paraId="0C3B2529">
      <w:pPr>
        <w:jc w:val="left"/>
        <w:rPr>
          <w:color w:val="000000" w:themeColor="text1"/>
          <w:sz w:val="28"/>
          <w:szCs w:val="28"/>
          <w14:textFill>
            <w14:solidFill>
              <w14:schemeClr w14:val="tx1"/>
            </w14:solidFill>
          </w14:textFill>
        </w:rPr>
      </w:pPr>
    </w:p>
    <w:p w14:paraId="2DE0BFFF">
      <w:pPr>
        <w:jc w:val="left"/>
        <w:rPr>
          <w:color w:val="000000" w:themeColor="text1"/>
          <w:sz w:val="28"/>
          <w:szCs w:val="28"/>
          <w14:textFill>
            <w14:solidFill>
              <w14:schemeClr w14:val="tx1"/>
            </w14:solidFill>
          </w14:textFill>
        </w:rPr>
      </w:pPr>
    </w:p>
    <w:p w14:paraId="72F32CDF">
      <w:pPr>
        <w:jc w:val="left"/>
        <w:rPr>
          <w:color w:val="000000" w:themeColor="text1"/>
          <w:sz w:val="28"/>
          <w:szCs w:val="28"/>
          <w14:textFill>
            <w14:solidFill>
              <w14:schemeClr w14:val="tx1"/>
            </w14:solidFill>
          </w14:textFill>
        </w:rPr>
      </w:pPr>
    </w:p>
    <w:p w14:paraId="174EA887">
      <w:pPr>
        <w:jc w:val="left"/>
        <w:rPr>
          <w:color w:val="000000" w:themeColor="text1"/>
          <w:sz w:val="28"/>
          <w:szCs w:val="28"/>
          <w14:textFill>
            <w14:solidFill>
              <w14:schemeClr w14:val="tx1"/>
            </w14:solidFill>
          </w14:textFill>
        </w:rPr>
      </w:pPr>
    </w:p>
    <w:p w14:paraId="700A0961">
      <w:pPr>
        <w:rPr>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三、学科综合考试</w:t>
      </w:r>
    </w:p>
    <w:p w14:paraId="32DF8F6D">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博士研究生学科综合考试是指对包括导师所指定的基础理论专业知识、相关学科知识、学科前沿知识以及包括导师虽未指定，但作为博士生应具备知识的综合考核，它应该反映博士生分析问题、解决问题的能力以及是否具有进入论文工作阶段及开展本领域方向科研的综合能力。为此，特制定中国海洋大学资源与环境专业博士研究生学科综合考试（简称综合考试）实施细则。</w:t>
      </w:r>
      <w:r>
        <w:rPr>
          <w:rFonts w:hint="eastAsia" w:ascii="Times New Roman" w:hAnsi="Times New Roman" w:cs="Times New Roman"/>
          <w:sz w:val="28"/>
          <w:szCs w:val="28"/>
        </w:rPr>
        <w:t>博士研究生</w:t>
      </w:r>
      <w:r>
        <w:rPr>
          <w:rFonts w:eastAsia="仿宋_GB2312"/>
          <w:sz w:val="32"/>
          <w:szCs w:val="32"/>
        </w:rPr>
        <w:t>在修满个人培养计划规定的全部课程学分后</w:t>
      </w:r>
      <w:r>
        <w:rPr>
          <w:rFonts w:hint="eastAsia" w:ascii="Times New Roman" w:hAnsi="Times New Roman" w:cs="Times New Roman"/>
          <w:sz w:val="28"/>
          <w:szCs w:val="28"/>
        </w:rPr>
        <w:t>方可参加综合考试。</w:t>
      </w:r>
      <w:r>
        <w:rPr>
          <w:rFonts w:hint="eastAsia" w:ascii="Times New Roman" w:hAnsi="Times New Roman" w:cs="Times New Roman"/>
          <w:color w:val="000000" w:themeColor="text1"/>
          <w:sz w:val="28"/>
          <w:szCs w:val="28"/>
          <w14:textFill>
            <w14:solidFill>
              <w14:schemeClr w14:val="tx1"/>
            </w14:solidFill>
          </w14:textFill>
        </w:rPr>
        <w:t>综合考试合格者方可进入论文开题阶段。</w:t>
      </w:r>
    </w:p>
    <w:p w14:paraId="25DBAAC1">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1</w:t>
      </w:r>
      <w:r>
        <w:rPr>
          <w:rFonts w:hint="eastAsia" w:ascii="Times New Roman" w:hAnsi="Times New Roman" w:cs="Times New Roman"/>
          <w:color w:val="000000" w:themeColor="text1"/>
          <w:sz w:val="28"/>
          <w:szCs w:val="28"/>
          <w14:textFill>
            <w14:solidFill>
              <w14:schemeClr w14:val="tx1"/>
            </w14:solidFill>
          </w14:textFill>
        </w:rPr>
        <w:t>、考试时间：博士研究生二年级夏秋季学期。</w:t>
      </w:r>
    </w:p>
    <w:p w14:paraId="7747F63F">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2</w:t>
      </w:r>
      <w:r>
        <w:rPr>
          <w:rFonts w:hint="eastAsia" w:ascii="Times New Roman" w:hAnsi="Times New Roman" w:cs="Times New Roman"/>
          <w:color w:val="000000" w:themeColor="text1"/>
          <w:sz w:val="28"/>
          <w:szCs w:val="28"/>
          <w14:textFill>
            <w14:solidFill>
              <w14:schemeClr w14:val="tx1"/>
            </w14:solidFill>
          </w14:textFill>
        </w:rPr>
        <w:t>、考试人员：资源与环境博士二年级研究生。</w:t>
      </w:r>
    </w:p>
    <w:p w14:paraId="75D1E0B0">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、考试内容：资源与环境专业的基础理论知识与对全球重大环境问题的分析与理解。</w:t>
      </w:r>
    </w:p>
    <w:p w14:paraId="56C22227">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、考试方式：以开卷形式进行笔试，时间为</w:t>
      </w:r>
      <w:r>
        <w:rPr>
          <w:rFonts w:ascii="Times New Roman" w:hAnsi="Times New Roman" w:cs="Times New Roman"/>
          <w:color w:val="000000" w:themeColor="text1"/>
          <w:sz w:val="28"/>
          <w:szCs w:val="28"/>
          <w14:textFill>
            <w14:solidFill>
              <w14:schemeClr w14:val="tx1"/>
            </w14:solidFill>
          </w14:textFill>
        </w:rPr>
        <w:t>4</w:t>
      </w:r>
      <w:r>
        <w:rPr>
          <w:rFonts w:hint="eastAsia" w:ascii="Times New Roman" w:hAnsi="Times New Roman" w:cs="Times New Roman"/>
          <w:color w:val="000000" w:themeColor="text1"/>
          <w:sz w:val="28"/>
          <w:szCs w:val="28"/>
          <w14:textFill>
            <w14:solidFill>
              <w14:schemeClr w14:val="tx1"/>
            </w14:solidFill>
          </w14:textFill>
        </w:rPr>
        <w:t>小时。</w:t>
      </w:r>
    </w:p>
    <w:p w14:paraId="445658CE">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5</w:t>
      </w:r>
      <w:r>
        <w:rPr>
          <w:rFonts w:hint="eastAsia" w:ascii="Times New Roman" w:hAnsi="Times New Roman" w:cs="Times New Roman"/>
          <w:color w:val="000000" w:themeColor="text1"/>
          <w:sz w:val="28"/>
          <w:szCs w:val="28"/>
          <w14:textFill>
            <w14:solidFill>
              <w14:schemeClr w14:val="tx1"/>
            </w14:solidFill>
          </w14:textFill>
        </w:rPr>
        <w:t>、考试标准：考试成绩按百分制记，</w:t>
      </w:r>
      <w:r>
        <w:rPr>
          <w:rFonts w:ascii="Times New Roman" w:hAnsi="Times New Roman" w:cs="Times New Roman"/>
          <w:color w:val="000000" w:themeColor="text1"/>
          <w:sz w:val="28"/>
          <w:szCs w:val="28"/>
          <w14:textFill>
            <w14:solidFill>
              <w14:schemeClr w14:val="tx1"/>
            </w14:solidFill>
          </w14:textFill>
        </w:rPr>
        <w:t>70</w:t>
      </w:r>
      <w:r>
        <w:rPr>
          <w:rFonts w:hint="eastAsia" w:ascii="Times New Roman" w:hAnsi="Times New Roman" w:cs="Times New Roman"/>
          <w:color w:val="000000" w:themeColor="text1"/>
          <w:sz w:val="28"/>
          <w:szCs w:val="28"/>
          <w14:textFill>
            <w14:solidFill>
              <w14:schemeClr w14:val="tx1"/>
            </w14:solidFill>
          </w14:textFill>
        </w:rPr>
        <w:t>分为合格。</w:t>
      </w:r>
    </w:p>
    <w:p w14:paraId="59FBFCAD">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6</w:t>
      </w:r>
      <w:r>
        <w:rPr>
          <w:rFonts w:hint="eastAsia" w:ascii="Times New Roman" w:hAnsi="Times New Roman" w:cs="Times New Roman"/>
          <w:color w:val="000000" w:themeColor="text1"/>
          <w:sz w:val="28"/>
          <w:szCs w:val="28"/>
          <w14:textFill>
            <w14:solidFill>
              <w14:schemeClr w14:val="tx1"/>
            </w14:solidFill>
          </w14:textFill>
        </w:rPr>
        <w:t>、考试程序：考试前一周向博士二年级研究生发送通知，确定参加考试人数后统一组织考试，由两位教师监考。考试完成后</w:t>
      </w:r>
      <w:r>
        <w:rPr>
          <w:rFonts w:ascii="Times New Roman" w:hAnsi="Times New Roman" w:cs="Times New Roman"/>
          <w:color w:val="000000" w:themeColor="text1"/>
          <w:sz w:val="28"/>
          <w:szCs w:val="28"/>
          <w14:textFill>
            <w14:solidFill>
              <w14:schemeClr w14:val="tx1"/>
            </w14:solidFill>
          </w14:textFill>
        </w:rPr>
        <w:t>3</w:t>
      </w:r>
      <w:r>
        <w:rPr>
          <w:rFonts w:hint="eastAsia" w:ascii="Times New Roman" w:hAnsi="Times New Roman" w:cs="Times New Roman"/>
          <w:color w:val="000000" w:themeColor="text1"/>
          <w:sz w:val="28"/>
          <w:szCs w:val="28"/>
          <w14:textFill>
            <w14:solidFill>
              <w14:schemeClr w14:val="tx1"/>
            </w14:solidFill>
          </w14:textFill>
        </w:rPr>
        <w:t>天内确定考试成绩是否合格。</w:t>
      </w:r>
    </w:p>
    <w:p w14:paraId="2D57438E">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7</w:t>
      </w:r>
      <w:r>
        <w:rPr>
          <w:rFonts w:hint="eastAsia" w:ascii="Times New Roman" w:hAnsi="Times New Roman" w:cs="Times New Roman"/>
          <w:color w:val="000000" w:themeColor="text1"/>
          <w:sz w:val="28"/>
          <w:szCs w:val="28"/>
          <w14:textFill>
            <w14:solidFill>
              <w14:schemeClr w14:val="tx1"/>
            </w14:solidFill>
          </w14:textFill>
        </w:rPr>
        <w:t>、学生申诉处理：如参与考核研究生对考试结果有异议，可向院学术委员会提出复议，批准复议后可在两位教师参与下对考试成绩进行复审，确定最终成绩。</w:t>
      </w:r>
    </w:p>
    <w:p w14:paraId="64D701C3">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8</w:t>
      </w:r>
      <w:r>
        <w:rPr>
          <w:rFonts w:hint="eastAsia" w:ascii="Times New Roman" w:hAnsi="Times New Roman" w:cs="Times New Roman"/>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综合考试</w:t>
      </w:r>
      <w:r>
        <w:rPr>
          <w:color w:val="000000" w:themeColor="text1"/>
          <w:sz w:val="28"/>
          <w:szCs w:val="28"/>
          <w14:textFill>
            <w14:solidFill>
              <w14:schemeClr w14:val="tx1"/>
            </w14:solidFill>
          </w14:textFill>
        </w:rPr>
        <w:t>成绩分为通过、暂缓通过和不通过，无法参加的博士生作不通过处理。对于第一次学科综合考试成绩暂缓通过者，可在三个月后申请第二次学科综合考试或参加低年级学科综合考试；第一次学科综合考试成绩不通过和第二次学科综合考试仍未通过者，须参加低年级学科综合考试。博士在读期间最多可参加三次，三次考核仍未通过者，予以退学或转为硕士生，具体处理决定由学院学位评定分委员会审查通过，报研究生院备案，按《中国海洋大学研究生学籍管理规定》</w:t>
      </w:r>
      <w:r>
        <w:rPr>
          <w:rFonts w:hint="eastAsia"/>
          <w:color w:val="000000" w:themeColor="text1"/>
          <w:sz w:val="28"/>
          <w:szCs w:val="28"/>
          <w14:textFill>
            <w14:solidFill>
              <w14:schemeClr w14:val="tx1"/>
            </w14:solidFill>
          </w14:textFill>
        </w:rPr>
        <w:t>中的</w:t>
      </w:r>
      <w:r>
        <w:rPr>
          <w:color w:val="000000" w:themeColor="text1"/>
          <w:sz w:val="28"/>
          <w:szCs w:val="28"/>
          <w14:textFill>
            <w14:solidFill>
              <w14:schemeClr w14:val="tx1"/>
            </w14:solidFill>
          </w14:textFill>
        </w:rPr>
        <w:t>规定办理。考核通过者可以进行博士学位论文开题，暂缓通过和不通过者不得进入博士学位论文开题，不予推荐参加国家和学校的公派留学项目。博士学科综</w:t>
      </w:r>
      <w:r>
        <w:rPr>
          <w:rFonts w:ascii="Times New Roman" w:hAnsi="Times New Roman" w:cs="Times New Roman"/>
          <w:color w:val="000000" w:themeColor="text1"/>
          <w:sz w:val="28"/>
          <w:szCs w:val="28"/>
          <w14:textFill>
            <w14:solidFill>
              <w14:schemeClr w14:val="tx1"/>
            </w14:solidFill>
          </w14:textFill>
        </w:rPr>
        <w:t>合考试材料由学院负责保管，存入博士生档案。第一次考核通过的比例不高于85%。</w:t>
      </w:r>
    </w:p>
    <w:p w14:paraId="3A8087D1">
      <w:pPr>
        <w:ind w:firstLine="560" w:firstLineChars="200"/>
        <w:rPr>
          <w:rFonts w:ascii="Times New Roman" w:hAnsi="Times New Roman" w:cs="Times New Roman"/>
          <w:color w:val="000000" w:themeColor="text1"/>
          <w:sz w:val="28"/>
          <w:szCs w:val="28"/>
          <w14:textFill>
            <w14:solidFill>
              <w14:schemeClr w14:val="tx1"/>
            </w14:solidFill>
          </w14:textFill>
        </w:rPr>
      </w:pPr>
    </w:p>
    <w:p w14:paraId="3983603A">
      <w:pPr>
        <w:ind w:firstLine="560" w:firstLineChars="200"/>
        <w:rPr>
          <w:rFonts w:ascii="Times New Roman" w:hAnsi="Times New Roman" w:cs="Times New Roman"/>
          <w:color w:val="000000" w:themeColor="text1"/>
          <w:sz w:val="28"/>
          <w:szCs w:val="28"/>
          <w14:textFill>
            <w14:solidFill>
              <w14:schemeClr w14:val="tx1"/>
            </w14:solidFill>
          </w14:textFill>
        </w:rPr>
      </w:pPr>
    </w:p>
    <w:p w14:paraId="31330AC9">
      <w:pPr>
        <w:ind w:firstLine="560" w:firstLineChars="200"/>
        <w:rPr>
          <w:rFonts w:ascii="Times New Roman" w:hAnsi="Times New Roman" w:cs="Times New Roman"/>
          <w:color w:val="000000" w:themeColor="text1"/>
          <w:sz w:val="28"/>
          <w:szCs w:val="28"/>
          <w14:textFill>
            <w14:solidFill>
              <w14:schemeClr w14:val="tx1"/>
            </w14:solidFill>
          </w14:textFill>
        </w:rPr>
      </w:pPr>
    </w:p>
    <w:p w14:paraId="1430290E">
      <w:pPr>
        <w:ind w:firstLine="560" w:firstLineChars="200"/>
        <w:rPr>
          <w:rFonts w:ascii="Times New Roman" w:hAnsi="Times New Roman" w:cs="Times New Roman"/>
          <w:color w:val="000000" w:themeColor="text1"/>
          <w:sz w:val="28"/>
          <w:szCs w:val="28"/>
          <w14:textFill>
            <w14:solidFill>
              <w14:schemeClr w14:val="tx1"/>
            </w14:solidFill>
          </w14:textFill>
        </w:rPr>
      </w:pPr>
    </w:p>
    <w:p w14:paraId="3446CA1C">
      <w:pPr>
        <w:ind w:firstLine="560" w:firstLineChars="200"/>
        <w:rPr>
          <w:rFonts w:ascii="Times New Roman" w:hAnsi="Times New Roman" w:cs="Times New Roman"/>
          <w:color w:val="000000" w:themeColor="text1"/>
          <w:sz w:val="28"/>
          <w:szCs w:val="28"/>
          <w14:textFill>
            <w14:solidFill>
              <w14:schemeClr w14:val="tx1"/>
            </w14:solidFill>
          </w14:textFill>
        </w:rPr>
      </w:pPr>
    </w:p>
    <w:p w14:paraId="7BBB51DF">
      <w:pPr>
        <w:ind w:firstLine="560" w:firstLineChars="200"/>
        <w:rPr>
          <w:rFonts w:ascii="Times New Roman" w:hAnsi="Times New Roman" w:cs="Times New Roman"/>
          <w:color w:val="000000" w:themeColor="text1"/>
          <w:sz w:val="28"/>
          <w:szCs w:val="28"/>
          <w14:textFill>
            <w14:solidFill>
              <w14:schemeClr w14:val="tx1"/>
            </w14:solidFill>
          </w14:textFill>
        </w:rPr>
      </w:pPr>
    </w:p>
    <w:p w14:paraId="4086D285">
      <w:pPr>
        <w:ind w:firstLine="560" w:firstLineChars="200"/>
        <w:rPr>
          <w:rFonts w:ascii="Times New Roman" w:hAnsi="Times New Roman" w:cs="Times New Roman"/>
          <w:color w:val="000000" w:themeColor="text1"/>
          <w:sz w:val="28"/>
          <w:szCs w:val="28"/>
          <w14:textFill>
            <w14:solidFill>
              <w14:schemeClr w14:val="tx1"/>
            </w14:solidFill>
          </w14:textFill>
        </w:rPr>
      </w:pPr>
    </w:p>
    <w:p w14:paraId="7CDC5563">
      <w:pPr>
        <w:ind w:firstLine="560" w:firstLineChars="200"/>
        <w:rPr>
          <w:rFonts w:ascii="Times New Roman" w:hAnsi="Times New Roman" w:cs="Times New Roman"/>
          <w:color w:val="000000" w:themeColor="text1"/>
          <w:sz w:val="28"/>
          <w:szCs w:val="28"/>
          <w14:textFill>
            <w14:solidFill>
              <w14:schemeClr w14:val="tx1"/>
            </w14:solidFill>
          </w14:textFill>
        </w:rPr>
      </w:pPr>
    </w:p>
    <w:p w14:paraId="2E8A8625">
      <w:pPr>
        <w:ind w:firstLine="560" w:firstLineChars="200"/>
        <w:rPr>
          <w:rFonts w:ascii="Times New Roman" w:hAnsi="Times New Roman" w:cs="Times New Roman"/>
          <w:color w:val="000000" w:themeColor="text1"/>
          <w:sz w:val="28"/>
          <w:szCs w:val="28"/>
          <w14:textFill>
            <w14:solidFill>
              <w14:schemeClr w14:val="tx1"/>
            </w14:solidFill>
          </w14:textFill>
        </w:rPr>
      </w:pPr>
    </w:p>
    <w:p w14:paraId="382A4A7F">
      <w:pPr>
        <w:ind w:firstLine="560" w:firstLineChars="200"/>
        <w:rPr>
          <w:rFonts w:ascii="Times New Roman" w:hAnsi="Times New Roman" w:cs="Times New Roman"/>
          <w:color w:val="000000" w:themeColor="text1"/>
          <w:sz w:val="28"/>
          <w:szCs w:val="28"/>
          <w14:textFill>
            <w14:solidFill>
              <w14:schemeClr w14:val="tx1"/>
            </w14:solidFill>
          </w14:textFill>
        </w:rPr>
      </w:pPr>
    </w:p>
    <w:p w14:paraId="719996C3">
      <w:pPr>
        <w:ind w:firstLine="560" w:firstLineChars="200"/>
        <w:rPr>
          <w:rFonts w:ascii="Times New Roman" w:hAnsi="Times New Roman" w:cs="Times New Roman"/>
          <w:color w:val="000000" w:themeColor="text1"/>
          <w:sz w:val="28"/>
          <w:szCs w:val="28"/>
          <w14:textFill>
            <w14:solidFill>
              <w14:schemeClr w14:val="tx1"/>
            </w14:solidFill>
          </w14:textFill>
        </w:rPr>
      </w:pPr>
    </w:p>
    <w:p w14:paraId="342639F6">
      <w:pPr>
        <w:ind w:firstLine="560" w:firstLineChars="200"/>
        <w:rPr>
          <w:rFonts w:ascii="Times New Roman" w:hAnsi="Times New Roman" w:cs="Times New Roman"/>
          <w:color w:val="000000" w:themeColor="text1"/>
          <w:sz w:val="28"/>
          <w:szCs w:val="28"/>
          <w14:textFill>
            <w14:solidFill>
              <w14:schemeClr w14:val="tx1"/>
            </w14:solidFill>
          </w14:textFill>
        </w:rPr>
      </w:pPr>
    </w:p>
    <w:p w14:paraId="68F84710">
      <w:pPr>
        <w:rPr>
          <w:rFonts w:eastAsia="宋体"/>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四、开题报告</w:t>
      </w:r>
    </w:p>
    <w:p w14:paraId="3F92A0AC">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开题报告是博士研究生培养的重要环节，为强化过程管理，保证研究生培养质量，根据学校对研究生培养的基本要求，特制定我院学术学位博士研究生开题报告实施细则。</w:t>
      </w:r>
    </w:p>
    <w:p w14:paraId="0015004A">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第一条</w:t>
      </w:r>
      <w:r>
        <w:rPr>
          <w:rFonts w:hint="eastAsia"/>
          <w:color w:val="000000" w:themeColor="text1"/>
          <w:sz w:val="28"/>
          <w:szCs w:val="28"/>
          <w14:textFill>
            <w14:solidFill>
              <w14:schemeClr w14:val="tx1"/>
            </w14:solidFill>
          </w14:textFill>
        </w:rPr>
        <w:t xml:space="preserve"> 考核内容</w:t>
      </w:r>
    </w:p>
    <w:p w14:paraId="3E52E52F">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分别从</w:t>
      </w:r>
      <w:r>
        <w:rPr>
          <w:color w:val="000000" w:themeColor="text1"/>
          <w:sz w:val="28"/>
          <w:szCs w:val="28"/>
          <w14:textFill>
            <w14:solidFill>
              <w14:schemeClr w14:val="tx1"/>
            </w14:solidFill>
          </w14:textFill>
        </w:rPr>
        <w:t>文献综述</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选题背景及其意义、研究内容</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工作特色及难点、预期成果及可能的创新点等</w:t>
      </w:r>
      <w:r>
        <w:rPr>
          <w:rFonts w:hint="eastAsia"/>
          <w:color w:val="000000" w:themeColor="text1"/>
          <w:sz w:val="28"/>
          <w:szCs w:val="28"/>
          <w14:textFill>
            <w14:solidFill>
              <w14:schemeClr w14:val="tx1"/>
            </w14:solidFill>
          </w14:textFill>
        </w:rPr>
        <w:t xml:space="preserve">五个方面进行考核，详见附件。 </w:t>
      </w:r>
    </w:p>
    <w:p w14:paraId="2283321A">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第二条</w:t>
      </w:r>
      <w:r>
        <w:rPr>
          <w:rFonts w:hint="eastAsia"/>
          <w:color w:val="000000" w:themeColor="text1"/>
          <w:sz w:val="28"/>
          <w:szCs w:val="28"/>
          <w14:textFill>
            <w14:solidFill>
              <w14:schemeClr w14:val="tx1"/>
            </w14:solidFill>
          </w14:textFill>
        </w:rPr>
        <w:t xml:space="preserve"> 考核标准</w:t>
      </w:r>
    </w:p>
    <w:p w14:paraId="57D95616">
      <w:pPr>
        <w:autoSpaceDE w:val="0"/>
        <w:autoSpaceDN w:val="0"/>
        <w:adjustRightInd w:val="0"/>
        <w:ind w:firstLine="560" w:firstLineChars="200"/>
        <w:jc w:val="left"/>
        <w:rPr>
          <w:rFonts w:ascii="Times New Roman" w:hAnsi="Times New Roman" w:cs="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开题报告考核按</w:t>
      </w:r>
      <w:r>
        <w:rPr>
          <w:color w:val="000000" w:themeColor="text1"/>
          <w:sz w:val="28"/>
          <w:szCs w:val="28"/>
          <w14:textFill>
            <w14:solidFill>
              <w14:schemeClr w14:val="tx1"/>
            </w14:solidFill>
          </w14:textFill>
        </w:rPr>
        <w:t>文献综述</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选题背景及其意义、研究内容</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工作特色及难点、预期成果及可能的创新点</w:t>
      </w:r>
      <w:r>
        <w:rPr>
          <w:rFonts w:hint="eastAsia"/>
          <w:color w:val="000000" w:themeColor="text1"/>
          <w:sz w:val="28"/>
          <w:szCs w:val="28"/>
          <w14:textFill>
            <w14:solidFill>
              <w14:schemeClr w14:val="tx1"/>
            </w14:solidFill>
          </w14:textFill>
        </w:rPr>
        <w:t>等五项内容按百分制综合给出考核成绩。</w:t>
      </w:r>
    </w:p>
    <w:p w14:paraId="04C99865">
      <w:pPr>
        <w:autoSpaceDE w:val="0"/>
        <w:autoSpaceDN w:val="0"/>
        <w:adjustRightInd w:val="0"/>
        <w:ind w:firstLine="560" w:firstLineChars="200"/>
        <w:jc w:val="lef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开题不通过的学生需对开题报告进行修改，修改时间不少于3个月，经本人申请、导师同意后，重新开题。</w:t>
      </w:r>
    </w:p>
    <w:p w14:paraId="386BCDFF">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第三条</w:t>
      </w:r>
      <w:r>
        <w:rPr>
          <w:rFonts w:hint="eastAsia"/>
          <w:color w:val="000000" w:themeColor="text1"/>
          <w:sz w:val="28"/>
          <w:szCs w:val="28"/>
          <w14:textFill>
            <w14:solidFill>
              <w14:schemeClr w14:val="tx1"/>
            </w14:solidFill>
          </w14:textFill>
        </w:rPr>
        <w:t xml:space="preserve"> 考核时间</w:t>
      </w:r>
    </w:p>
    <w:p w14:paraId="0DC3EB9C">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在课程学习及学科综合考试结束、学位论文撰写开始前进行。开题报告和论文答辩时间间隔要求不少于2年。每年组织两次，一次在6月份，一次在12月份。</w:t>
      </w:r>
    </w:p>
    <w:p w14:paraId="058EED8D">
      <w:pPr>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第四条</w:t>
      </w:r>
      <w:r>
        <w:rPr>
          <w:rFonts w:ascii="Times New Roman" w:hAnsi="Times New Roman" w:cs="Times New Roman"/>
          <w:color w:val="000000" w:themeColor="text1"/>
          <w:sz w:val="28"/>
          <w:szCs w:val="28"/>
          <w14:textFill>
            <w14:solidFill>
              <w14:schemeClr w14:val="tx1"/>
            </w14:solidFill>
          </w14:textFill>
        </w:rPr>
        <w:t xml:space="preserve"> 考核方式</w:t>
      </w:r>
    </w:p>
    <w:p w14:paraId="4D9061A1">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学位论文开题报告考核采取公开答辩方式。学院根据学生研究方向分组进行</w:t>
      </w:r>
      <w:r>
        <w:rPr>
          <w:rFonts w:hint="eastAsia" w:ascii="Times New Roman" w:hAnsi="Times New Roman" w:cs="Times New Roman"/>
          <w:color w:val="000000" w:themeColor="text1"/>
          <w:sz w:val="28"/>
          <w:szCs w:val="28"/>
          <w14:textFill>
            <w14:solidFill>
              <w14:schemeClr w14:val="tx1"/>
            </w14:solidFill>
          </w14:textFill>
        </w:rPr>
        <w:t>答辩</w:t>
      </w:r>
      <w:r>
        <w:rPr>
          <w:rFonts w:ascii="Times New Roman" w:hAnsi="Times New Roman" w:cs="Times New Roman"/>
          <w:color w:val="000000" w:themeColor="text1"/>
          <w:sz w:val="28"/>
          <w:szCs w:val="28"/>
          <w14:textFill>
            <w14:solidFill>
              <w14:schemeClr w14:val="tx1"/>
            </w14:solidFill>
          </w14:textFill>
        </w:rPr>
        <w:t>。</w:t>
      </w:r>
    </w:p>
    <w:p w14:paraId="7FBDFA13">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第五条</w:t>
      </w:r>
      <w:r>
        <w:rPr>
          <w:rFonts w:hint="eastAsia"/>
          <w:color w:val="000000" w:themeColor="text1"/>
          <w:sz w:val="28"/>
          <w:szCs w:val="28"/>
          <w14:textFill>
            <w14:solidFill>
              <w14:schemeClr w14:val="tx1"/>
            </w14:solidFill>
          </w14:textFill>
        </w:rPr>
        <w:t xml:space="preserve"> 考核程序</w:t>
      </w:r>
    </w:p>
    <w:p w14:paraId="21E6EF19">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（一）</w:t>
      </w:r>
      <w:r>
        <w:rPr>
          <w:color w:val="000000" w:themeColor="text1"/>
          <w:sz w:val="28"/>
          <w:szCs w:val="28"/>
          <w14:textFill>
            <w14:solidFill>
              <w14:schemeClr w14:val="tx1"/>
            </w14:solidFill>
          </w14:textFill>
        </w:rPr>
        <w:t>研究生做好开题</w:t>
      </w:r>
      <w:r>
        <w:rPr>
          <w:rFonts w:hint="eastAsia"/>
          <w:color w:val="000000" w:themeColor="text1"/>
          <w:sz w:val="28"/>
          <w:szCs w:val="28"/>
          <w14:textFill>
            <w14:solidFill>
              <w14:schemeClr w14:val="tx1"/>
            </w14:solidFill>
          </w14:textFill>
        </w:rPr>
        <w:t>报告</w:t>
      </w:r>
      <w:r>
        <w:rPr>
          <w:color w:val="000000" w:themeColor="text1"/>
          <w:sz w:val="28"/>
          <w:szCs w:val="28"/>
          <w14:textFill>
            <w14:solidFill>
              <w14:schemeClr w14:val="tx1"/>
            </w14:solidFill>
          </w14:textFill>
        </w:rPr>
        <w:t>准备后，向</w:t>
      </w:r>
      <w:r>
        <w:rPr>
          <w:rFonts w:hint="eastAsia"/>
          <w:color w:val="000000" w:themeColor="text1"/>
          <w:sz w:val="28"/>
          <w:szCs w:val="28"/>
          <w14:textFill>
            <w14:solidFill>
              <w14:schemeClr w14:val="tx1"/>
            </w14:solidFill>
          </w14:textFill>
        </w:rPr>
        <w:t>学院</w:t>
      </w:r>
      <w:r>
        <w:rPr>
          <w:color w:val="000000" w:themeColor="text1"/>
          <w:sz w:val="28"/>
          <w:szCs w:val="28"/>
          <w14:textFill>
            <w14:solidFill>
              <w14:schemeClr w14:val="tx1"/>
            </w14:solidFill>
          </w14:textFill>
        </w:rPr>
        <w:t>提出开题</w:t>
      </w:r>
      <w:r>
        <w:rPr>
          <w:rFonts w:hint="eastAsia"/>
          <w:color w:val="000000" w:themeColor="text1"/>
          <w:sz w:val="28"/>
          <w:szCs w:val="28"/>
          <w14:textFill>
            <w14:solidFill>
              <w14:schemeClr w14:val="tx1"/>
            </w14:solidFill>
          </w14:textFill>
        </w:rPr>
        <w:t>报告</w:t>
      </w:r>
      <w:r>
        <w:rPr>
          <w:color w:val="000000" w:themeColor="text1"/>
          <w:sz w:val="28"/>
          <w:szCs w:val="28"/>
          <w14:textFill>
            <w14:solidFill>
              <w14:schemeClr w14:val="tx1"/>
            </w14:solidFill>
          </w14:textFill>
        </w:rPr>
        <w:t>申请。</w:t>
      </w:r>
    </w:p>
    <w:p w14:paraId="49CADEDE">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二）各系组织成立开题报告考核专家组。</w:t>
      </w:r>
    </w:p>
    <w:p w14:paraId="48AC8407">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（三）开题报告会由考核专家组组长主持</w:t>
      </w:r>
      <w:r>
        <w:rPr>
          <w:rFonts w:ascii="Times New Roman" w:hAnsi="Times New Roman" w:cs="Times New Roman"/>
          <w:color w:val="000000" w:themeColor="text1"/>
          <w:sz w:val="28"/>
          <w:szCs w:val="28"/>
          <w:highlight w:val="none"/>
          <w14:textFill>
            <w14:solidFill>
              <w14:schemeClr w14:val="tx1"/>
            </w14:solidFill>
          </w14:textFill>
        </w:rPr>
        <w:t>，博士研究生自述时间不少于25分钟，专家提问时间不少于25分钟。开</w:t>
      </w:r>
      <w:r>
        <w:rPr>
          <w:rFonts w:ascii="Times New Roman" w:hAnsi="Times New Roman" w:cs="Times New Roman"/>
          <w:color w:val="000000" w:themeColor="text1"/>
          <w:sz w:val="28"/>
          <w:szCs w:val="28"/>
          <w14:textFill>
            <w14:solidFill>
              <w14:schemeClr w14:val="tx1"/>
            </w14:solidFill>
          </w14:textFill>
        </w:rPr>
        <w:t>题报告考核专家组给出考核意见。开题报告会相关材料，由秘书记录汇总，并于会后3个工作日内报院研究生教务办公室。</w:t>
      </w:r>
    </w:p>
    <w:p w14:paraId="50605F44">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四）考评议结果分为通过和暂缓通过。对于第一次开题暂缓通过者，经评审小组同意，可在三个月后重新开题。两次开题仍未通过者，予以退学或转为硕士生。开题报告通过后，若论文选题有重大修改，则应在规定时间内重新开题。</w:t>
      </w:r>
    </w:p>
    <w:p w14:paraId="33F68A54">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（五）</w:t>
      </w:r>
      <w:r>
        <w:rPr>
          <w:color w:val="000000" w:themeColor="text1"/>
          <w:sz w:val="28"/>
          <w:szCs w:val="28"/>
          <w14:textFill>
            <w14:solidFill>
              <w14:schemeClr w14:val="tx1"/>
            </w14:solidFill>
          </w14:textFill>
        </w:rPr>
        <w:t>开题审核材料由学院</w:t>
      </w:r>
      <w:r>
        <w:rPr>
          <w:rFonts w:hint="eastAsia"/>
          <w:color w:val="000000" w:themeColor="text1"/>
          <w:sz w:val="28"/>
          <w:szCs w:val="28"/>
          <w14:textFill>
            <w14:solidFill>
              <w14:schemeClr w14:val="tx1"/>
            </w14:solidFill>
          </w14:textFill>
        </w:rPr>
        <w:t>统一</w:t>
      </w:r>
      <w:r>
        <w:rPr>
          <w:color w:val="000000" w:themeColor="text1"/>
          <w:sz w:val="28"/>
          <w:szCs w:val="28"/>
          <w14:textFill>
            <w14:solidFill>
              <w14:schemeClr w14:val="tx1"/>
            </w14:solidFill>
          </w14:textFill>
        </w:rPr>
        <w:t>负责保管，存入</w:t>
      </w:r>
      <w:r>
        <w:rPr>
          <w:rFonts w:hint="eastAsia"/>
          <w:color w:val="000000" w:themeColor="text1"/>
          <w:sz w:val="28"/>
          <w:szCs w:val="28"/>
          <w14:textFill>
            <w14:solidFill>
              <w14:schemeClr w14:val="tx1"/>
            </w14:solidFill>
          </w14:textFill>
        </w:rPr>
        <w:t>研究</w:t>
      </w:r>
      <w:r>
        <w:rPr>
          <w:color w:val="000000" w:themeColor="text1"/>
          <w:sz w:val="28"/>
          <w:szCs w:val="28"/>
          <w14:textFill>
            <w14:solidFill>
              <w14:schemeClr w14:val="tx1"/>
            </w14:solidFill>
          </w14:textFill>
        </w:rPr>
        <w:t>生档案。</w:t>
      </w:r>
    </w:p>
    <w:p w14:paraId="67DDD771">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第六条</w:t>
      </w:r>
      <w:r>
        <w:rPr>
          <w:rFonts w:hint="eastAsia"/>
          <w:color w:val="000000" w:themeColor="text1"/>
          <w:sz w:val="28"/>
          <w:szCs w:val="28"/>
          <w14:textFill>
            <w14:solidFill>
              <w14:schemeClr w14:val="tx1"/>
            </w14:solidFill>
          </w14:textFill>
        </w:rPr>
        <w:t xml:space="preserve"> 考核专家组人员组成</w:t>
      </w:r>
    </w:p>
    <w:p w14:paraId="1A3916D4">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开题报告的考核由各系负责组织实施，可视人数分批或按课题内容分小组进行，由5-7位具有教授职称（至少应有2位博导）的教师组成博士生开题报告考核专家组。</w:t>
      </w:r>
    </w:p>
    <w:p w14:paraId="13438D59">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第七条</w:t>
      </w:r>
      <w:r>
        <w:rPr>
          <w:rFonts w:hint="eastAsia"/>
          <w:color w:val="000000" w:themeColor="text1"/>
          <w:sz w:val="28"/>
          <w:szCs w:val="28"/>
          <w14:textFill>
            <w14:solidFill>
              <w14:schemeClr w14:val="tx1"/>
            </w14:solidFill>
          </w14:textFill>
        </w:rPr>
        <w:t xml:space="preserve"> 学生申诉处理委员会组成</w:t>
      </w:r>
    </w:p>
    <w:p w14:paraId="03580479">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学生申诉处理委员会由学院学位评定分委员会成员组成。</w:t>
      </w:r>
    </w:p>
    <w:p w14:paraId="4708B1D0">
      <w:pPr>
        <w:rPr>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第八条</w:t>
      </w:r>
      <w:r>
        <w:rPr>
          <w:rFonts w:hint="eastAsia"/>
          <w:color w:val="000000" w:themeColor="text1"/>
          <w:sz w:val="28"/>
          <w:szCs w:val="28"/>
          <w14:textFill>
            <w14:solidFill>
              <w14:schemeClr w14:val="tx1"/>
            </w14:solidFill>
          </w14:textFill>
        </w:rPr>
        <w:t xml:space="preserve"> 申诉、议事规则</w:t>
      </w:r>
    </w:p>
    <w:p w14:paraId="60558259">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w:t>
      </w:r>
      <w:r>
        <w:rPr>
          <w:rFonts w:ascii="Times New Roman" w:hAnsi="Times New Roman" w:cs="Times New Roman"/>
          <w:color w:val="000000" w:themeColor="text1"/>
          <w:sz w:val="28"/>
          <w:szCs w:val="28"/>
          <w14:textFill>
            <w14:solidFill>
              <w14:schemeClr w14:val="tx1"/>
            </w14:solidFill>
          </w14:textFill>
        </w:rPr>
        <w:t>生对开题报告考核结果有异议的，在接到考核结果之日起7日内有权申请学院学位评定分委员会复议，学位评定分委员会在7日内作出复议决定，对复议决定不服的，可向学校提出申诉。</w:t>
      </w:r>
    </w:p>
    <w:p w14:paraId="66792717">
      <w:pPr>
        <w:jc w:val="left"/>
        <w:rPr>
          <w:rFonts w:ascii="Calibri" w:hAnsi="Calibri" w:eastAsia="宋体" w:cs="Times New Roman"/>
          <w:b/>
          <w:bCs/>
          <w:color w:val="000000" w:themeColor="text1"/>
          <w:sz w:val="28"/>
          <w:szCs w:val="28"/>
          <w:lang w:bidi="ar"/>
          <w14:textFill>
            <w14:solidFill>
              <w14:schemeClr w14:val="tx1"/>
            </w14:solidFill>
          </w14:textFill>
        </w:rPr>
      </w:pPr>
    </w:p>
    <w:p w14:paraId="5FB5F7BA">
      <w:pPr>
        <w:jc w:val="center"/>
        <w:rPr>
          <w:rFonts w:ascii="Calibri" w:hAnsi="Calibri" w:eastAsia="宋体" w:cs="Times New Roman"/>
          <w:b/>
          <w:bCs/>
          <w:color w:val="000000" w:themeColor="text1"/>
          <w:sz w:val="32"/>
          <w:szCs w:val="28"/>
          <w:lang w:bidi="ar"/>
          <w14:textFill>
            <w14:solidFill>
              <w14:schemeClr w14:val="tx1"/>
            </w14:solidFill>
          </w14:textFill>
        </w:rPr>
      </w:pPr>
    </w:p>
    <w:p w14:paraId="750E8633">
      <w:pPr>
        <w:rPr>
          <w:rFonts w:eastAsia="宋体"/>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五、开题审核</w:t>
      </w:r>
    </w:p>
    <w:p w14:paraId="100A3012">
      <w:pPr>
        <w:spacing w:line="500" w:lineRule="exact"/>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（一）考核内容</w:t>
      </w:r>
    </w:p>
    <w:p w14:paraId="38FDF1FC">
      <w:pPr>
        <w:ind w:firstLine="560" w:firstLineChars="200"/>
        <w:rPr>
          <w:rFonts w:ascii="Times New Roman" w:hAnsi="Times New Roman" w:cs="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考</w:t>
      </w:r>
      <w:r>
        <w:rPr>
          <w:rFonts w:ascii="Times New Roman" w:hAnsi="Times New Roman" w:cs="Times New Roman"/>
          <w:color w:val="000000" w:themeColor="text1"/>
          <w:sz w:val="28"/>
          <w:szCs w:val="28"/>
          <w14:textFill>
            <w14:solidFill>
              <w14:schemeClr w14:val="tx1"/>
            </w14:solidFill>
          </w14:textFill>
        </w:rPr>
        <w:t>核内容包含个人鉴定，开题报告，思想政治考核和导师评价，专家组审核等。</w:t>
      </w:r>
    </w:p>
    <w:p w14:paraId="40104C48">
      <w:pPr>
        <w:spacing w:line="500" w:lineRule="exact"/>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（二）考核标准</w:t>
      </w:r>
    </w:p>
    <w:p w14:paraId="2DB5565E">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结果分为通过、暂缓通过或不通过，无法参加的硕士生作不通过处理。第一次开题审核通过的比例不高于85%。对于第一次开题审核评议暂缓通过者，可在三个月后申请重新开题审核或参加低年级开题审核；第一次开题审核评议不通过者，须参加低年级开题审核。硕士生两次开题审核仍未通过者，予以退学。开题审核通过后，若论文选题有重大修改，则应在规定时间内重新开题。</w:t>
      </w:r>
    </w:p>
    <w:p w14:paraId="2A5D8B77">
      <w:pPr>
        <w:spacing w:line="500" w:lineRule="exac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（三）考核时间</w:t>
      </w:r>
    </w:p>
    <w:p w14:paraId="7B4B8732">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第3学期前。开题审核和论文答辩时间间隔要求不少于1年。</w:t>
      </w:r>
    </w:p>
    <w:p w14:paraId="6E15D36A">
      <w:pPr>
        <w:spacing w:line="500" w:lineRule="exact"/>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（四）考核方式</w:t>
      </w:r>
    </w:p>
    <w:p w14:paraId="42442FAD">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采取公开答辩方式进行，由学院统一组织、分组考核。</w:t>
      </w:r>
    </w:p>
    <w:p w14:paraId="3038BE0E">
      <w:pPr>
        <w:spacing w:line="500" w:lineRule="exact"/>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（五）考核程序</w:t>
      </w:r>
    </w:p>
    <w:p w14:paraId="6895F0FD">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学生填写《中国海洋大学硕士研究生开题审核表》，由专家组审核后给出审核结论。</w:t>
      </w:r>
    </w:p>
    <w:p w14:paraId="0662409E">
      <w:pPr>
        <w:spacing w:line="500" w:lineRule="exact"/>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（六）考核人员组成</w:t>
      </w:r>
    </w:p>
    <w:p w14:paraId="77BC57D6">
      <w:pPr>
        <w:ind w:firstLine="560" w:firstLineChars="200"/>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由学科组成考核专家组，专家组需至少由5名专家组成，其中至少包含正高级职称专家3名以上。</w:t>
      </w:r>
    </w:p>
    <w:p w14:paraId="58057581">
      <w:pPr>
        <w:spacing w:line="500" w:lineRule="exact"/>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（七）学生申诉处理委员会组成及申诉、议事规则</w:t>
      </w:r>
    </w:p>
    <w:p w14:paraId="01630DCE">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学生申诉委员会由各学院党委书记、院长、分管研究生工作的副院长、纪检委员、系主任和研究生秘书组成。</w:t>
      </w:r>
    </w:p>
    <w:p w14:paraId="02588ACB">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学生申诉须提出书面申请，由申诉处理委员会进行审核，并给出书面审核结论。</w:t>
      </w:r>
    </w:p>
    <w:p w14:paraId="3AB3F1AD">
      <w:pPr>
        <w:jc w:val="left"/>
        <w:rPr>
          <w:rFonts w:ascii="Calibri" w:hAnsi="Calibri" w:eastAsia="宋体" w:cs="Times New Roman"/>
          <w:color w:val="000000" w:themeColor="text1"/>
          <w:sz w:val="28"/>
          <w:szCs w:val="28"/>
          <w:lang w:bidi="ar"/>
          <w14:textFill>
            <w14:solidFill>
              <w14:schemeClr w14:val="tx1"/>
            </w14:solidFill>
          </w14:textFill>
        </w:rPr>
      </w:pPr>
    </w:p>
    <w:p w14:paraId="21338541">
      <w:pPr>
        <w:jc w:val="left"/>
        <w:rPr>
          <w:rFonts w:ascii="Calibri" w:hAnsi="Calibri" w:eastAsia="宋体" w:cs="Times New Roman"/>
          <w:color w:val="000000" w:themeColor="text1"/>
          <w:sz w:val="28"/>
          <w:szCs w:val="28"/>
          <w:lang w:bidi="ar"/>
          <w14:textFill>
            <w14:solidFill>
              <w14:schemeClr w14:val="tx1"/>
            </w14:solidFill>
          </w14:textFill>
        </w:rPr>
      </w:pPr>
    </w:p>
    <w:p w14:paraId="493E2500">
      <w:pPr>
        <w:jc w:val="left"/>
        <w:rPr>
          <w:rFonts w:ascii="Calibri" w:hAnsi="Calibri" w:eastAsia="宋体" w:cs="Times New Roman"/>
          <w:color w:val="000000" w:themeColor="text1"/>
          <w:sz w:val="28"/>
          <w:szCs w:val="28"/>
          <w:lang w:bidi="ar"/>
          <w14:textFill>
            <w14:solidFill>
              <w14:schemeClr w14:val="tx1"/>
            </w14:solidFill>
          </w14:textFill>
        </w:rPr>
      </w:pPr>
    </w:p>
    <w:p w14:paraId="3AA5592E">
      <w:pPr>
        <w:jc w:val="left"/>
        <w:rPr>
          <w:rFonts w:ascii="Calibri" w:hAnsi="Calibri" w:eastAsia="宋体" w:cs="Times New Roman"/>
          <w:color w:val="000000" w:themeColor="text1"/>
          <w:sz w:val="28"/>
          <w:szCs w:val="28"/>
          <w:lang w:bidi="ar"/>
          <w14:textFill>
            <w14:solidFill>
              <w14:schemeClr w14:val="tx1"/>
            </w14:solidFill>
          </w14:textFill>
        </w:rPr>
      </w:pPr>
    </w:p>
    <w:p w14:paraId="7F716C2B">
      <w:pPr>
        <w:jc w:val="left"/>
        <w:rPr>
          <w:rFonts w:ascii="Calibri" w:hAnsi="Calibri" w:eastAsia="宋体" w:cs="Times New Roman"/>
          <w:color w:val="000000" w:themeColor="text1"/>
          <w:sz w:val="28"/>
          <w:szCs w:val="28"/>
          <w:lang w:bidi="ar"/>
          <w14:textFill>
            <w14:solidFill>
              <w14:schemeClr w14:val="tx1"/>
            </w14:solidFill>
          </w14:textFill>
        </w:rPr>
      </w:pPr>
    </w:p>
    <w:p w14:paraId="6489ADEA">
      <w:pPr>
        <w:jc w:val="left"/>
        <w:rPr>
          <w:rFonts w:ascii="Calibri" w:hAnsi="Calibri" w:eastAsia="宋体" w:cs="Times New Roman"/>
          <w:color w:val="000000" w:themeColor="text1"/>
          <w:sz w:val="28"/>
          <w:szCs w:val="28"/>
          <w:lang w:bidi="ar"/>
          <w14:textFill>
            <w14:solidFill>
              <w14:schemeClr w14:val="tx1"/>
            </w14:solidFill>
          </w14:textFill>
        </w:rPr>
      </w:pPr>
    </w:p>
    <w:p w14:paraId="53D2AD14">
      <w:pPr>
        <w:jc w:val="left"/>
        <w:rPr>
          <w:rFonts w:ascii="Calibri" w:hAnsi="Calibri" w:eastAsia="宋体" w:cs="Times New Roman"/>
          <w:color w:val="000000" w:themeColor="text1"/>
          <w:sz w:val="28"/>
          <w:szCs w:val="28"/>
          <w:lang w:bidi="ar"/>
          <w14:textFill>
            <w14:solidFill>
              <w14:schemeClr w14:val="tx1"/>
            </w14:solidFill>
          </w14:textFill>
        </w:rPr>
      </w:pPr>
    </w:p>
    <w:p w14:paraId="38DB375C">
      <w:pPr>
        <w:jc w:val="left"/>
        <w:rPr>
          <w:rFonts w:ascii="Calibri" w:hAnsi="Calibri" w:eastAsia="宋体" w:cs="Times New Roman"/>
          <w:color w:val="000000" w:themeColor="text1"/>
          <w:sz w:val="28"/>
          <w:szCs w:val="28"/>
          <w:lang w:bidi="ar"/>
          <w14:textFill>
            <w14:solidFill>
              <w14:schemeClr w14:val="tx1"/>
            </w14:solidFill>
          </w14:textFill>
        </w:rPr>
      </w:pPr>
    </w:p>
    <w:p w14:paraId="5001E758">
      <w:pPr>
        <w:jc w:val="left"/>
        <w:rPr>
          <w:rFonts w:ascii="Calibri" w:hAnsi="Calibri" w:eastAsia="宋体" w:cs="Times New Roman"/>
          <w:color w:val="000000" w:themeColor="text1"/>
          <w:sz w:val="28"/>
          <w:szCs w:val="28"/>
          <w:lang w:bidi="ar"/>
          <w14:textFill>
            <w14:solidFill>
              <w14:schemeClr w14:val="tx1"/>
            </w14:solidFill>
          </w14:textFill>
        </w:rPr>
      </w:pPr>
    </w:p>
    <w:p w14:paraId="6ED70E50">
      <w:pPr>
        <w:jc w:val="left"/>
        <w:rPr>
          <w:rFonts w:ascii="Calibri" w:hAnsi="Calibri" w:eastAsia="宋体" w:cs="Times New Roman"/>
          <w:color w:val="000000" w:themeColor="text1"/>
          <w:sz w:val="28"/>
          <w:szCs w:val="28"/>
          <w:lang w:bidi="ar"/>
          <w14:textFill>
            <w14:solidFill>
              <w14:schemeClr w14:val="tx1"/>
            </w14:solidFill>
          </w14:textFill>
        </w:rPr>
      </w:pPr>
    </w:p>
    <w:p w14:paraId="0A43D997">
      <w:pPr>
        <w:jc w:val="left"/>
        <w:rPr>
          <w:rFonts w:ascii="Calibri" w:hAnsi="Calibri" w:eastAsia="宋体" w:cs="Times New Roman"/>
          <w:color w:val="000000" w:themeColor="text1"/>
          <w:sz w:val="28"/>
          <w:szCs w:val="28"/>
          <w:lang w:bidi="ar"/>
          <w14:textFill>
            <w14:solidFill>
              <w14:schemeClr w14:val="tx1"/>
            </w14:solidFill>
          </w14:textFill>
        </w:rPr>
      </w:pPr>
    </w:p>
    <w:p w14:paraId="42E0B988">
      <w:pPr>
        <w:jc w:val="left"/>
        <w:rPr>
          <w:rFonts w:ascii="Calibri" w:hAnsi="Calibri" w:eastAsia="宋体" w:cs="Times New Roman"/>
          <w:color w:val="000000" w:themeColor="text1"/>
          <w:sz w:val="28"/>
          <w:szCs w:val="28"/>
          <w:lang w:bidi="ar"/>
          <w14:textFill>
            <w14:solidFill>
              <w14:schemeClr w14:val="tx1"/>
            </w14:solidFill>
          </w14:textFill>
        </w:rPr>
      </w:pPr>
    </w:p>
    <w:p w14:paraId="0DC82EF2">
      <w:pPr>
        <w:jc w:val="left"/>
        <w:rPr>
          <w:rFonts w:ascii="Calibri" w:hAnsi="Calibri" w:eastAsia="宋体" w:cs="Times New Roman"/>
          <w:color w:val="000000" w:themeColor="text1"/>
          <w:sz w:val="28"/>
          <w:szCs w:val="28"/>
          <w:lang w:bidi="ar"/>
          <w14:textFill>
            <w14:solidFill>
              <w14:schemeClr w14:val="tx1"/>
            </w14:solidFill>
          </w14:textFill>
        </w:rPr>
      </w:pPr>
    </w:p>
    <w:p w14:paraId="7CD9C8EE">
      <w:pPr>
        <w:jc w:val="left"/>
        <w:rPr>
          <w:rFonts w:ascii="Calibri" w:hAnsi="Calibri" w:eastAsia="宋体" w:cs="Times New Roman"/>
          <w:color w:val="000000" w:themeColor="text1"/>
          <w:sz w:val="28"/>
          <w:szCs w:val="28"/>
          <w:lang w:bidi="ar"/>
          <w14:textFill>
            <w14:solidFill>
              <w14:schemeClr w14:val="tx1"/>
            </w14:solidFill>
          </w14:textFill>
        </w:rPr>
      </w:pPr>
    </w:p>
    <w:p w14:paraId="33C7AE0D">
      <w:pPr>
        <w:jc w:val="left"/>
        <w:rPr>
          <w:rFonts w:ascii="Calibri" w:hAnsi="Calibri" w:eastAsia="宋体" w:cs="Times New Roman"/>
          <w:color w:val="000000" w:themeColor="text1"/>
          <w:sz w:val="28"/>
          <w:szCs w:val="28"/>
          <w:lang w:bidi="ar"/>
          <w14:textFill>
            <w14:solidFill>
              <w14:schemeClr w14:val="tx1"/>
            </w14:solidFill>
          </w14:textFill>
        </w:rPr>
      </w:pPr>
    </w:p>
    <w:p w14:paraId="25F2104E">
      <w:pPr>
        <w:jc w:val="left"/>
        <w:rPr>
          <w:rFonts w:ascii="Calibri" w:hAnsi="Calibri" w:eastAsia="宋体" w:cs="Times New Roman"/>
          <w:color w:val="000000" w:themeColor="text1"/>
          <w:sz w:val="28"/>
          <w:szCs w:val="28"/>
          <w:lang w:bidi="ar"/>
          <w14:textFill>
            <w14:solidFill>
              <w14:schemeClr w14:val="tx1"/>
            </w14:solidFill>
          </w14:textFill>
        </w:rPr>
      </w:pPr>
    </w:p>
    <w:p w14:paraId="4D715BD5">
      <w:pPr>
        <w:jc w:val="left"/>
        <w:rPr>
          <w:rFonts w:ascii="Calibri" w:hAnsi="Calibri" w:eastAsia="宋体" w:cs="Times New Roman"/>
          <w:color w:val="000000" w:themeColor="text1"/>
          <w:sz w:val="28"/>
          <w:szCs w:val="28"/>
          <w:lang w:bidi="ar"/>
          <w14:textFill>
            <w14:solidFill>
              <w14:schemeClr w14:val="tx1"/>
            </w14:solidFill>
          </w14:textFill>
        </w:rPr>
      </w:pPr>
    </w:p>
    <w:p w14:paraId="455F4D9A">
      <w:pPr>
        <w:jc w:val="left"/>
        <w:rPr>
          <w:rFonts w:ascii="Calibri" w:hAnsi="Calibri" w:eastAsia="宋体" w:cs="Times New Roman"/>
          <w:color w:val="000000" w:themeColor="text1"/>
          <w:sz w:val="28"/>
          <w:szCs w:val="28"/>
          <w:lang w:bidi="ar"/>
          <w14:textFill>
            <w14:solidFill>
              <w14:schemeClr w14:val="tx1"/>
            </w14:solidFill>
          </w14:textFill>
        </w:rPr>
      </w:pPr>
    </w:p>
    <w:p w14:paraId="680DCC08">
      <w:pPr>
        <w:jc w:val="left"/>
        <w:rPr>
          <w:rFonts w:ascii="Calibri" w:hAnsi="Calibri" w:eastAsia="宋体" w:cs="Times New Roman"/>
          <w:color w:val="000000" w:themeColor="text1"/>
          <w:sz w:val="28"/>
          <w:szCs w:val="28"/>
          <w:lang w:bidi="ar"/>
          <w14:textFill>
            <w14:solidFill>
              <w14:schemeClr w14:val="tx1"/>
            </w14:solidFill>
          </w14:textFill>
        </w:rPr>
      </w:pPr>
    </w:p>
    <w:p w14:paraId="58AC133C">
      <w:pPr>
        <w:rPr>
          <w:rFonts w:ascii="Calibri" w:hAnsi="Calibri" w:eastAsia="宋体" w:cs="Times New Roman"/>
          <w:b/>
          <w:bCs/>
          <w:color w:val="000000" w:themeColor="text1"/>
          <w:sz w:val="32"/>
          <w:szCs w:val="28"/>
          <w:lang w:bidi="ar"/>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六、工程技术结题报告</w:t>
      </w:r>
    </w:p>
    <w:p w14:paraId="5036D957">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（一）考核内容</w:t>
      </w:r>
    </w:p>
    <w:p w14:paraId="4238D674">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重点考核工程</w:t>
      </w:r>
      <w:r>
        <w:rPr>
          <w:rFonts w:hint="eastAsia" w:ascii="Calibri" w:hAnsi="Calibri" w:eastAsia="宋体" w:cs="Times New Roman"/>
          <w:color w:val="000000" w:themeColor="text1"/>
          <w:sz w:val="28"/>
          <w:szCs w:val="28"/>
          <w:lang w:val="en-US" w:eastAsia="zh-CN" w:bidi="ar"/>
          <w14:textFill>
            <w14:solidFill>
              <w14:schemeClr w14:val="tx1"/>
            </w14:solidFill>
          </w14:textFill>
        </w:rPr>
        <w:t>类</w:t>
      </w:r>
      <w:r>
        <w:rPr>
          <w:rFonts w:hint="eastAsia" w:ascii="Calibri" w:hAnsi="Calibri" w:eastAsia="宋体" w:cs="Times New Roman"/>
          <w:color w:val="000000" w:themeColor="text1"/>
          <w:sz w:val="28"/>
          <w:szCs w:val="28"/>
          <w:lang w:bidi="ar"/>
          <w14:textFill>
            <w14:solidFill>
              <w14:schemeClr w14:val="tx1"/>
            </w14:solidFill>
          </w14:textFill>
        </w:rPr>
        <w:t>博士研究生工程技术课题结题情况，包括研究课题、研究背景、研究方案、实际工程应用实例、取得的成果等。</w:t>
      </w:r>
    </w:p>
    <w:p w14:paraId="3F46E657">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（二）考核标准</w:t>
      </w:r>
    </w:p>
    <w:p w14:paraId="17CD16AC">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考核结果按优秀、良好、合格与不合格四个等级。考核专家应在《中国海洋大学工程类博士工程技术结题报告》中填写考核评价结果、评语和结题报告修改意见。</w:t>
      </w:r>
    </w:p>
    <w:p w14:paraId="7511D04E">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研究生因故不能按期参加考核者，应于考核前提出延期考核的申请，经导师和所属学院负责人同意，可延期一次，原则上要求在延期申请获批后三个月内完成考核。</w:t>
      </w:r>
    </w:p>
    <w:p w14:paraId="76E59E8B">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未办理延期手续或申请未准而不按期参加考核的研究生，当次考核的评定等级记为“不合格”。</w:t>
      </w:r>
    </w:p>
    <w:p w14:paraId="0E7F9B9B">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考核成绩不合格，研究生在充分准备后重新进行考核。</w:t>
      </w:r>
      <w:r>
        <w:rPr>
          <w:rFonts w:ascii="Times New Roman" w:hAnsi="Times New Roman" w:eastAsia="宋体"/>
          <w:color w:val="000000" w:themeColor="text1"/>
          <w:sz w:val="28"/>
          <w:szCs w:val="28"/>
          <w14:textFill>
            <w14:solidFill>
              <w14:schemeClr w14:val="tx1"/>
            </w14:solidFill>
          </w14:textFill>
        </w:rPr>
        <w:t>经考核评估，如认为该生不符合培养条件，</w:t>
      </w:r>
      <w:r>
        <w:rPr>
          <w:rFonts w:hint="eastAsia" w:ascii="Times New Roman" w:hAnsi="Times New Roman" w:eastAsia="宋体"/>
          <w:color w:val="000000" w:themeColor="text1"/>
          <w:sz w:val="28"/>
          <w:szCs w:val="28"/>
          <w14:textFill>
            <w14:solidFill>
              <w14:schemeClr w14:val="tx1"/>
            </w14:solidFill>
          </w14:textFill>
        </w:rPr>
        <w:t>应予以</w:t>
      </w:r>
      <w:r>
        <w:rPr>
          <w:rFonts w:ascii="Times New Roman" w:hAnsi="Times New Roman" w:eastAsia="宋体"/>
          <w:color w:val="000000" w:themeColor="text1"/>
          <w:sz w:val="28"/>
          <w:szCs w:val="28"/>
          <w14:textFill>
            <w14:solidFill>
              <w14:schemeClr w14:val="tx1"/>
            </w14:solidFill>
          </w14:textFill>
        </w:rPr>
        <w:t>退学。</w:t>
      </w:r>
    </w:p>
    <w:p w14:paraId="473003CF">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（三）考核时间</w:t>
      </w:r>
    </w:p>
    <w:p w14:paraId="0DEDDB5C">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ascii="Times New Roman" w:hAnsi="Times New Roman" w:eastAsia="宋体"/>
          <w:color w:val="000000" w:themeColor="text1"/>
          <w:sz w:val="28"/>
          <w:szCs w:val="28"/>
          <w14:textFill>
            <w14:solidFill>
              <w14:schemeClr w14:val="tx1"/>
            </w14:solidFill>
          </w14:textFill>
        </w:rPr>
        <w:t>博士生在三年级以学术报告形式进行</w:t>
      </w:r>
      <w:r>
        <w:rPr>
          <w:rFonts w:hint="eastAsia" w:ascii="Times New Roman" w:hAnsi="Times New Roman" w:eastAsia="宋体"/>
          <w:color w:val="000000" w:themeColor="text1"/>
          <w:sz w:val="28"/>
          <w:szCs w:val="28"/>
          <w14:textFill>
            <w14:solidFill>
              <w14:schemeClr w14:val="tx1"/>
            </w14:solidFill>
          </w14:textFill>
        </w:rPr>
        <w:t>工程类博士工程技术结题报告。</w:t>
      </w:r>
    </w:p>
    <w:p w14:paraId="5AC60086">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（四）考核方式</w:t>
      </w:r>
    </w:p>
    <w:p w14:paraId="29B53AA5">
      <w:pPr>
        <w:spacing w:line="360" w:lineRule="auto"/>
        <w:ind w:firstLine="560" w:firstLineChars="20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工程类博士工程技术结题报告评审由学院负责统一组织，各系具体实施，应组织公开的工程技术结题报告会。学生本人进行汇报，考核小组进行考核。</w:t>
      </w:r>
    </w:p>
    <w:p w14:paraId="58A9C604">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（五）考核程序</w:t>
      </w:r>
    </w:p>
    <w:p w14:paraId="74624198">
      <w:pPr>
        <w:spacing w:line="360" w:lineRule="auto"/>
        <w:ind w:firstLine="480"/>
        <w:rPr>
          <w:rFonts w:ascii="Times New Roman" w:hAnsi="Times New Roman" w:eastAsia="宋体"/>
          <w:color w:val="000000" w:themeColor="text1"/>
          <w:sz w:val="28"/>
          <w:szCs w:val="28"/>
          <w14:textFill>
            <w14:solidFill>
              <w14:schemeClr w14:val="tx1"/>
            </w14:solidFill>
          </w14:textFill>
        </w:rPr>
      </w:pPr>
      <w:r>
        <w:rPr>
          <w:rFonts w:hint="eastAsia" w:ascii="Times New Roman" w:hAnsi="Times New Roman" w:eastAsia="宋体"/>
          <w:color w:val="000000" w:themeColor="text1"/>
          <w:sz w:val="28"/>
          <w:szCs w:val="28"/>
          <w14:textFill>
            <w14:solidFill>
              <w14:schemeClr w14:val="tx1"/>
            </w14:solidFill>
          </w14:textFill>
        </w:rPr>
        <w:t>由课题组统一组织或导师自行组织、实行研究生申请、导师审核分组考核、学院备案的工作制度和考核程序。</w:t>
      </w:r>
    </w:p>
    <w:p w14:paraId="2D46C9CD">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（六）考核人员组成</w:t>
      </w:r>
    </w:p>
    <w:p w14:paraId="30CE9365">
      <w:pPr>
        <w:spacing w:line="360" w:lineRule="auto"/>
        <w:ind w:firstLine="480"/>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按</w:t>
      </w:r>
      <w:r>
        <w:rPr>
          <w:rFonts w:hint="eastAsia" w:ascii="Times New Roman" w:hAnsi="Times New Roman" w:eastAsia="宋体" w:cs="Times New Roman"/>
          <w:color w:val="000000" w:themeColor="text1"/>
          <w:sz w:val="28"/>
          <w:szCs w:val="28"/>
          <w14:textFill>
            <w14:solidFill>
              <w14:schemeClr w14:val="tx1"/>
            </w14:solidFill>
          </w14:textFill>
        </w:rPr>
        <w:t>研究</w:t>
      </w:r>
      <w:r>
        <w:rPr>
          <w:rFonts w:ascii="Times New Roman" w:hAnsi="Times New Roman" w:eastAsia="宋体" w:cs="Times New Roman"/>
          <w:color w:val="000000" w:themeColor="text1"/>
          <w:sz w:val="28"/>
          <w:szCs w:val="28"/>
          <w14:textFill>
            <w14:solidFill>
              <w14:schemeClr w14:val="tx1"/>
            </w14:solidFill>
          </w14:textFill>
        </w:rPr>
        <w:t>方向成立工程技术结题报</w:t>
      </w:r>
      <w:r>
        <w:rPr>
          <w:rFonts w:ascii="Times New Roman" w:hAnsi="Times New Roman" w:eastAsia="宋体" w:cs="Times New Roman"/>
          <w:color w:val="000000" w:themeColor="text1"/>
          <w:sz w:val="28"/>
          <w:szCs w:val="28"/>
          <w:highlight w:val="none"/>
          <w14:textFill>
            <w14:solidFill>
              <w14:schemeClr w14:val="tx1"/>
            </w14:solidFill>
          </w14:textFill>
        </w:rPr>
        <w:t>告考核专家小组，</w:t>
      </w:r>
      <w:r>
        <w:rPr>
          <w:rFonts w:hint="eastAsia" w:ascii="Times New Roman" w:hAnsi="Times New Roman" w:eastAsia="宋体" w:cs="Times New Roman"/>
          <w:color w:val="000000" w:themeColor="text1"/>
          <w:sz w:val="28"/>
          <w:szCs w:val="28"/>
          <w:highlight w:val="none"/>
          <w:lang w:val="en-US" w:eastAsia="zh-CN"/>
          <w14:textFill>
            <w14:solidFill>
              <w14:schemeClr w14:val="tx1"/>
            </w14:solidFill>
          </w14:textFill>
        </w:rPr>
        <w:t>工程类</w:t>
      </w:r>
      <w:r>
        <w:rPr>
          <w:rFonts w:hint="eastAsia" w:ascii="Times New Roman" w:hAnsi="Times New Roman" w:eastAsia="宋体" w:cs="Times New Roman"/>
          <w:color w:val="000000" w:themeColor="text1"/>
          <w:sz w:val="28"/>
          <w:szCs w:val="28"/>
          <w:highlight w:val="none"/>
          <w14:textFill>
            <w14:solidFill>
              <w14:schemeClr w14:val="tx1"/>
            </w14:solidFill>
          </w14:textFill>
        </w:rPr>
        <w:t>博士生考核专家小组由</w:t>
      </w:r>
      <w:r>
        <w:rPr>
          <w:rFonts w:ascii="Times New Roman" w:hAnsi="Times New Roman" w:eastAsia="宋体" w:cs="Times New Roman"/>
          <w:color w:val="000000" w:themeColor="text1"/>
          <w:sz w:val="28"/>
          <w:szCs w:val="28"/>
          <w:highlight w:val="none"/>
          <w14:textFill>
            <w14:solidFill>
              <w14:schemeClr w14:val="tx1"/>
            </w14:solidFill>
          </w14:textFill>
        </w:rPr>
        <w:t>学校和相关企业至少7名正高级专业技术职务的专家组成。设组长1名，秘书1名。被</w:t>
      </w:r>
      <w:r>
        <w:rPr>
          <w:rFonts w:ascii="Times New Roman" w:hAnsi="Times New Roman" w:eastAsia="宋体" w:cs="Times New Roman"/>
          <w:color w:val="000000" w:themeColor="text1"/>
          <w:sz w:val="28"/>
          <w:szCs w:val="28"/>
          <w14:textFill>
            <w14:solidFill>
              <w14:schemeClr w14:val="tx1"/>
            </w14:solidFill>
          </w14:textFill>
        </w:rPr>
        <w:t>考核研究生的导师可以参加考核专家小组，但不能担任组长。跨学科的工程技术结题报告应聘请相关学科的专家参加。鼓励聘请校外本学科专业或相近学科专业专家参加考核专家小组。</w:t>
      </w:r>
    </w:p>
    <w:p w14:paraId="0840B498">
      <w:pPr>
        <w:jc w:val="left"/>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（七）学生申诉处理委员会组成及申诉、议事规则</w:t>
      </w:r>
    </w:p>
    <w:p w14:paraId="13EC4B81">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学生申诉委员会由各学院党委书记、院长、分管研究生工作的副院长、纪检委员、系主任和研究生秘书组成。</w:t>
      </w:r>
    </w:p>
    <w:p w14:paraId="0007D880">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学生申诉须提出书面申请，由申诉处理委员会进行审核，并给出书面审核结论。</w:t>
      </w:r>
    </w:p>
    <w:p w14:paraId="6E3563E7">
      <w:pPr>
        <w:jc w:val="left"/>
        <w:rPr>
          <w:rFonts w:ascii="Calibri" w:hAnsi="Calibri" w:eastAsia="宋体" w:cs="Times New Roman"/>
          <w:color w:val="000000" w:themeColor="text1"/>
          <w:sz w:val="28"/>
          <w:szCs w:val="28"/>
          <w:lang w:bidi="ar"/>
          <w14:textFill>
            <w14:solidFill>
              <w14:schemeClr w14:val="tx1"/>
            </w14:solidFill>
          </w14:textFill>
        </w:rPr>
      </w:pPr>
    </w:p>
    <w:p w14:paraId="06A0C50C">
      <w:pPr>
        <w:jc w:val="left"/>
        <w:rPr>
          <w:rFonts w:ascii="Calibri" w:hAnsi="Calibri" w:eastAsia="宋体" w:cs="Times New Roman"/>
          <w:color w:val="000000" w:themeColor="text1"/>
          <w:sz w:val="28"/>
          <w:szCs w:val="28"/>
          <w:lang w:bidi="ar"/>
          <w14:textFill>
            <w14:solidFill>
              <w14:schemeClr w14:val="tx1"/>
            </w14:solidFill>
          </w14:textFill>
        </w:rPr>
      </w:pPr>
    </w:p>
    <w:p w14:paraId="6E9D24F1">
      <w:pPr>
        <w:jc w:val="left"/>
        <w:rPr>
          <w:rFonts w:ascii="Calibri" w:hAnsi="Calibri" w:eastAsia="宋体" w:cs="Times New Roman"/>
          <w:color w:val="000000" w:themeColor="text1"/>
          <w:sz w:val="28"/>
          <w:szCs w:val="28"/>
          <w:lang w:bidi="ar"/>
          <w14:textFill>
            <w14:solidFill>
              <w14:schemeClr w14:val="tx1"/>
            </w14:solidFill>
          </w14:textFill>
        </w:rPr>
      </w:pPr>
    </w:p>
    <w:p w14:paraId="6587073C">
      <w:pPr>
        <w:jc w:val="left"/>
        <w:rPr>
          <w:rFonts w:ascii="Calibri" w:hAnsi="Calibri" w:eastAsia="宋体" w:cs="Times New Roman"/>
          <w:color w:val="000000" w:themeColor="text1"/>
          <w:sz w:val="28"/>
          <w:szCs w:val="28"/>
          <w:lang w:bidi="ar"/>
          <w14:textFill>
            <w14:solidFill>
              <w14:schemeClr w14:val="tx1"/>
            </w14:solidFill>
          </w14:textFill>
        </w:rPr>
      </w:pPr>
    </w:p>
    <w:p w14:paraId="5839240E">
      <w:pPr>
        <w:jc w:val="left"/>
        <w:rPr>
          <w:rFonts w:ascii="Calibri" w:hAnsi="Calibri" w:eastAsia="宋体" w:cs="Times New Roman"/>
          <w:color w:val="000000" w:themeColor="text1"/>
          <w:sz w:val="28"/>
          <w:szCs w:val="28"/>
          <w:lang w:bidi="ar"/>
          <w14:textFill>
            <w14:solidFill>
              <w14:schemeClr w14:val="tx1"/>
            </w14:solidFill>
          </w14:textFill>
        </w:rPr>
      </w:pPr>
    </w:p>
    <w:p w14:paraId="603105C9">
      <w:pPr>
        <w:jc w:val="left"/>
        <w:rPr>
          <w:rFonts w:ascii="Calibri" w:hAnsi="Calibri" w:eastAsia="宋体" w:cs="Times New Roman"/>
          <w:color w:val="000000" w:themeColor="text1"/>
          <w:sz w:val="28"/>
          <w:szCs w:val="28"/>
          <w:lang w:bidi="ar"/>
          <w14:textFill>
            <w14:solidFill>
              <w14:schemeClr w14:val="tx1"/>
            </w14:solidFill>
          </w14:textFill>
        </w:rPr>
      </w:pPr>
    </w:p>
    <w:p w14:paraId="7CA2CF31">
      <w:pPr>
        <w:jc w:val="left"/>
        <w:rPr>
          <w:rFonts w:ascii="Calibri" w:hAnsi="Calibri" w:eastAsia="宋体" w:cs="Times New Roman"/>
          <w:color w:val="000000" w:themeColor="text1"/>
          <w:sz w:val="28"/>
          <w:szCs w:val="28"/>
          <w:lang w:bidi="ar"/>
          <w14:textFill>
            <w14:solidFill>
              <w14:schemeClr w14:val="tx1"/>
            </w14:solidFill>
          </w14:textFill>
        </w:rPr>
      </w:pPr>
    </w:p>
    <w:p w14:paraId="228DC95A">
      <w:pPr>
        <w:jc w:val="left"/>
        <w:rPr>
          <w:rFonts w:ascii="Calibri" w:hAnsi="Calibri" w:eastAsia="宋体" w:cs="Times New Roman"/>
          <w:color w:val="000000" w:themeColor="text1"/>
          <w:sz w:val="28"/>
          <w:szCs w:val="28"/>
          <w:lang w:bidi="ar"/>
          <w14:textFill>
            <w14:solidFill>
              <w14:schemeClr w14:val="tx1"/>
            </w14:solidFill>
          </w14:textFill>
        </w:rPr>
      </w:pPr>
    </w:p>
    <w:p w14:paraId="2C164605">
      <w:pPr>
        <w:rPr>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七、学位论文预答辩</w:t>
      </w:r>
    </w:p>
    <w:p w14:paraId="6BA40FD0">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（一）考核内容</w:t>
      </w:r>
    </w:p>
    <w:p w14:paraId="2E271ED9">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考核内容包括国内外研究现状分析、技术路线、研究过程及内容、研究结论、论文创新点、论文写作规范等。重点评估内容为研究的系统性、创新性、工作量以及学位论文写作的规范性等。</w:t>
      </w:r>
    </w:p>
    <w:p w14:paraId="772CADCF">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（二）考核标准</w:t>
      </w:r>
    </w:p>
    <w:p w14:paraId="354F3A96">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基本完成博士论文的研究工作，学术成果基本达到（或在今后三个月内有望达到）博士生培养方案的要求。对研究成果进行了充分、系统、深入和科学合理的总结与分析，且已经全部完成博士论文的初稿，并经过博士生导师修改。</w:t>
      </w:r>
    </w:p>
    <w:p w14:paraId="24F3C3F5">
      <w:pPr>
        <w:rPr>
          <w:rFonts w:ascii="Times New Roman" w:hAnsi="Times New Roman" w:eastAsia="宋体" w:cs="Times New Roman"/>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w:t>
      </w:r>
      <w:r>
        <w:rPr>
          <w:rFonts w:ascii="Times New Roman" w:hAnsi="Times New Roman" w:eastAsia="宋体" w:cs="Times New Roman"/>
          <w:color w:val="000000" w:themeColor="text1"/>
          <w:sz w:val="28"/>
          <w:szCs w:val="28"/>
          <w14:textFill>
            <w14:solidFill>
              <w14:schemeClr w14:val="tx1"/>
            </w14:solidFill>
          </w14:textFill>
        </w:rPr>
        <w:t>三）考核时间</w:t>
      </w:r>
    </w:p>
    <w:p w14:paraId="543E73ED">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第7学期</w:t>
      </w:r>
      <w:r>
        <w:rPr>
          <w:rFonts w:hint="eastAsia" w:ascii="Times New Roman" w:hAnsi="Times New Roman" w:eastAsia="宋体" w:cs="Times New Roman"/>
          <w:color w:val="000000" w:themeColor="text1"/>
          <w:sz w:val="28"/>
          <w:szCs w:val="28"/>
          <w14:textFill>
            <w14:solidFill>
              <w14:schemeClr w14:val="tx1"/>
            </w14:solidFill>
          </w14:textFill>
        </w:rPr>
        <w:t>结束</w:t>
      </w:r>
      <w:r>
        <w:rPr>
          <w:rFonts w:ascii="Times New Roman" w:hAnsi="Times New Roman" w:eastAsia="宋体" w:cs="Times New Roman"/>
          <w:color w:val="000000" w:themeColor="text1"/>
          <w:sz w:val="28"/>
          <w:szCs w:val="28"/>
          <w14:textFill>
            <w14:solidFill>
              <w14:schemeClr w14:val="tx1"/>
            </w14:solidFill>
          </w14:textFill>
        </w:rPr>
        <w:t>前。博士研究生通过预答辩3个月后方可申请正式答辩。</w:t>
      </w:r>
      <w:r>
        <w:rPr>
          <w:rFonts w:hint="eastAsia" w:ascii="Times New Roman" w:hAnsi="Times New Roman" w:eastAsia="宋体" w:cs="Times New Roman"/>
          <w:color w:val="000000" w:themeColor="text1"/>
          <w:sz w:val="28"/>
          <w:szCs w:val="28"/>
          <w14:textFill>
            <w14:solidFill>
              <w14:schemeClr w14:val="tx1"/>
            </w14:solidFill>
          </w14:textFill>
        </w:rPr>
        <w:t>第一次预答辩原则上在校学位评定委员会召开前6个月公开举行。</w:t>
      </w:r>
      <w:r>
        <w:rPr>
          <w:rFonts w:ascii="Times New Roman" w:hAnsi="Times New Roman" w:eastAsia="宋体" w:cs="Times New Roman"/>
          <w:color w:val="000000" w:themeColor="text1"/>
          <w:sz w:val="28"/>
          <w:szCs w:val="28"/>
          <w14:textFill>
            <w14:solidFill>
              <w14:schemeClr w14:val="tx1"/>
            </w14:solidFill>
          </w14:textFill>
        </w:rPr>
        <w:t>预答辩报告会由学院统一负责组织实施，每年举行3次，分别在3月、6月和12月底举行。</w:t>
      </w:r>
    </w:p>
    <w:p w14:paraId="74B21C9E">
      <w:pP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（四）考核</w:t>
      </w:r>
      <w:r>
        <w:rPr>
          <w:rFonts w:hint="eastAsia" w:ascii="MS Mincho" w:hAnsi="MS Mincho" w:eastAsia="宋体" w:cs="MS Mincho"/>
          <w:color w:val="000000" w:themeColor="text1"/>
          <w:sz w:val="28"/>
          <w:szCs w:val="28"/>
          <w14:textFill>
            <w14:solidFill>
              <w14:schemeClr w14:val="tx1"/>
            </w14:solidFill>
          </w14:textFill>
        </w:rPr>
        <w:t>方式</w:t>
      </w:r>
    </w:p>
    <w:p w14:paraId="34CA3486">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学院根据研究方</w:t>
      </w:r>
      <w:r>
        <w:rPr>
          <w:rFonts w:ascii="Times New Roman" w:hAnsi="Times New Roman" w:eastAsia="宋体" w:cs="Times New Roman"/>
          <w:color w:val="000000" w:themeColor="text1"/>
          <w:sz w:val="28"/>
          <w:szCs w:val="28"/>
          <w14:textFill>
            <w14:solidFill>
              <w14:schemeClr w14:val="tx1"/>
            </w14:solidFill>
          </w14:textFill>
        </w:rPr>
        <w:t>向分组进行预答辩。采取无记名投票的方式对预答辩进行百分制评价，每组得分最高的前70%的博士生即为通过。</w:t>
      </w:r>
    </w:p>
    <w:p w14:paraId="7C23F4D8">
      <w:pPr>
        <w:ind w:firstLine="560" w:firstLineChars="200"/>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小组得分的后30%博士生合为一组，在学院学位评定分委员会上再次进行预答辩，评委采取无记名投票的方式进行百分制评价，评分最低的20%为不通过，不足1人的按1人计（即当次预答辩通过比例不高于总人数的80%）。</w:t>
      </w:r>
    </w:p>
    <w:p w14:paraId="1126F1A6">
      <w:pP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（五）考核程序</w:t>
      </w:r>
    </w:p>
    <w:p w14:paraId="34114FA2">
      <w:pPr>
        <w:ind w:firstLine="560" w:firstLineChars="200"/>
        <w:rPr>
          <w:rFonts w:ascii="Calibri" w:hAnsi="Calibri" w:eastAsia="宋体" w:cs="Times New Roman"/>
          <w:color w:val="000000" w:themeColor="text1"/>
          <w:sz w:val="28"/>
          <w:szCs w:val="28"/>
          <w:lang w:bidi="ar"/>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研究生汇报论文研究工作内容及本人承诺；专家组评审意见及评审结论；学生填写论文修改措施；导师（组）意见；学院审批意见。</w:t>
      </w:r>
    </w:p>
    <w:p w14:paraId="41C7DE65">
      <w:pP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（六）考核人员组成</w:t>
      </w:r>
    </w:p>
    <w:p w14:paraId="37BFC8B6">
      <w:pPr>
        <w:ind w:firstLine="560" w:firstLineChars="200"/>
        <w:rPr>
          <w:rFonts w:ascii="Times New Roman" w:hAnsi="Times New Roman" w:eastAsia="宋体" w:cs="Times New Roman"/>
          <w:color w:val="000000" w:themeColor="text1"/>
          <w:sz w:val="28"/>
          <w:szCs w:val="28"/>
          <w:lang w:bidi="ar"/>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每组至少5名校内博导参会。</w:t>
      </w:r>
    </w:p>
    <w:p w14:paraId="2A557C82">
      <w:pPr>
        <w:rPr>
          <w:rFonts w:ascii="Calibri" w:hAnsi="Calibri" w:eastAsia="宋体" w:cs="Times New Roman"/>
          <w:color w:val="000000" w:themeColor="text1"/>
          <w:sz w:val="28"/>
          <w:szCs w:val="28"/>
          <w:lang w:bidi="ar"/>
          <w14:textFill>
            <w14:solidFill>
              <w14:schemeClr w14:val="tx1"/>
            </w14:solidFill>
          </w14:textFill>
        </w:rPr>
      </w:pPr>
      <w:r>
        <w:rPr>
          <w:rFonts w:hint="eastAsia" w:ascii="Calibri" w:hAnsi="Calibri" w:eastAsia="宋体" w:cs="Times New Roman"/>
          <w:color w:val="000000" w:themeColor="text1"/>
          <w:sz w:val="28"/>
          <w:szCs w:val="28"/>
          <w:lang w:bidi="ar"/>
          <w14:textFill>
            <w14:solidFill>
              <w14:schemeClr w14:val="tx1"/>
            </w14:solidFill>
          </w14:textFill>
        </w:rPr>
        <w:t>（七）学生</w:t>
      </w:r>
      <w:r>
        <w:rPr>
          <w:rFonts w:hint="eastAsia" w:ascii="MS Mincho" w:hAnsi="MS Mincho" w:eastAsia="宋体" w:cs="MS Mincho"/>
          <w:color w:val="000000" w:themeColor="text1"/>
          <w:sz w:val="28"/>
          <w:szCs w:val="28"/>
          <w14:textFill>
            <w14:solidFill>
              <w14:schemeClr w14:val="tx1"/>
            </w14:solidFill>
          </w14:textFill>
        </w:rPr>
        <w:t>申诉</w:t>
      </w:r>
      <w:r>
        <w:rPr>
          <w:rFonts w:hint="eastAsia" w:ascii="Calibri" w:hAnsi="Calibri" w:eastAsia="宋体" w:cs="Times New Roman"/>
          <w:color w:val="000000" w:themeColor="text1"/>
          <w:sz w:val="28"/>
          <w:szCs w:val="28"/>
          <w:lang w:bidi="ar"/>
          <w14:textFill>
            <w14:solidFill>
              <w14:schemeClr w14:val="tx1"/>
            </w14:solidFill>
          </w14:textFill>
        </w:rPr>
        <w:t>处理委员会组成及申诉、议事规则</w:t>
      </w:r>
    </w:p>
    <w:p w14:paraId="13869232">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学生申诉委员会由学院党委书记、院长、分管研究生工作的副院长、纪检委员、系主任和研究生秘书组成。</w:t>
      </w:r>
    </w:p>
    <w:p w14:paraId="1EF07649">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学生申诉须提出书面申请，由申诉处理委员会聘请专门人员进行审核，并给出书面审核结论。</w:t>
      </w:r>
    </w:p>
    <w:p w14:paraId="37AF4FCB">
      <w:pPr>
        <w:rPr>
          <w:color w:val="000000" w:themeColor="text1"/>
          <w:sz w:val="28"/>
          <w:szCs w:val="28"/>
          <w14:textFill>
            <w14:solidFill>
              <w14:schemeClr w14:val="tx1"/>
            </w14:solidFill>
          </w14:textFill>
        </w:rPr>
      </w:pPr>
    </w:p>
    <w:p w14:paraId="5105C963">
      <w:pPr>
        <w:rPr>
          <w:color w:val="000000" w:themeColor="text1"/>
          <w:sz w:val="28"/>
          <w:szCs w:val="28"/>
          <w14:textFill>
            <w14:solidFill>
              <w14:schemeClr w14:val="tx1"/>
            </w14:solidFill>
          </w14:textFill>
        </w:rPr>
      </w:pPr>
    </w:p>
    <w:p w14:paraId="157E13A1">
      <w:pPr>
        <w:rPr>
          <w:color w:val="000000" w:themeColor="text1"/>
          <w:sz w:val="28"/>
          <w:szCs w:val="28"/>
          <w14:textFill>
            <w14:solidFill>
              <w14:schemeClr w14:val="tx1"/>
            </w14:solidFill>
          </w14:textFill>
        </w:rPr>
      </w:pPr>
    </w:p>
    <w:p w14:paraId="4AC3C00F">
      <w:pPr>
        <w:rPr>
          <w:color w:val="000000" w:themeColor="text1"/>
          <w:sz w:val="28"/>
          <w:szCs w:val="28"/>
          <w14:textFill>
            <w14:solidFill>
              <w14:schemeClr w14:val="tx1"/>
            </w14:solidFill>
          </w14:textFill>
        </w:rPr>
      </w:pPr>
    </w:p>
    <w:p w14:paraId="12608B82">
      <w:pPr>
        <w:rPr>
          <w:color w:val="000000" w:themeColor="text1"/>
          <w:sz w:val="28"/>
          <w:szCs w:val="28"/>
          <w14:textFill>
            <w14:solidFill>
              <w14:schemeClr w14:val="tx1"/>
            </w14:solidFill>
          </w14:textFill>
        </w:rPr>
      </w:pPr>
    </w:p>
    <w:p w14:paraId="2B3716F7">
      <w:pPr>
        <w:rPr>
          <w:color w:val="000000" w:themeColor="text1"/>
          <w:sz w:val="28"/>
          <w:szCs w:val="28"/>
          <w14:textFill>
            <w14:solidFill>
              <w14:schemeClr w14:val="tx1"/>
            </w14:solidFill>
          </w14:textFill>
        </w:rPr>
      </w:pPr>
    </w:p>
    <w:p w14:paraId="4549CB8C">
      <w:pPr>
        <w:rPr>
          <w:color w:val="000000" w:themeColor="text1"/>
          <w:sz w:val="28"/>
          <w:szCs w:val="28"/>
          <w14:textFill>
            <w14:solidFill>
              <w14:schemeClr w14:val="tx1"/>
            </w14:solidFill>
          </w14:textFill>
        </w:rPr>
      </w:pPr>
    </w:p>
    <w:p w14:paraId="76DADDB6">
      <w:pPr>
        <w:rPr>
          <w:color w:val="000000" w:themeColor="text1"/>
          <w:sz w:val="28"/>
          <w:szCs w:val="28"/>
          <w14:textFill>
            <w14:solidFill>
              <w14:schemeClr w14:val="tx1"/>
            </w14:solidFill>
          </w14:textFill>
        </w:rPr>
      </w:pPr>
    </w:p>
    <w:p w14:paraId="5C1CE1F8">
      <w:pPr>
        <w:rPr>
          <w:color w:val="000000" w:themeColor="text1"/>
          <w:sz w:val="28"/>
          <w:szCs w:val="28"/>
          <w14:textFill>
            <w14:solidFill>
              <w14:schemeClr w14:val="tx1"/>
            </w14:solidFill>
          </w14:textFill>
        </w:rPr>
      </w:pPr>
    </w:p>
    <w:p w14:paraId="640B569A">
      <w:pPr>
        <w:rPr>
          <w:color w:val="000000" w:themeColor="text1"/>
          <w:sz w:val="28"/>
          <w:szCs w:val="28"/>
          <w14:textFill>
            <w14:solidFill>
              <w14:schemeClr w14:val="tx1"/>
            </w14:solidFill>
          </w14:textFill>
        </w:rPr>
      </w:pPr>
    </w:p>
    <w:p w14:paraId="0A173314">
      <w:pPr>
        <w:rPr>
          <w:color w:val="000000" w:themeColor="text1"/>
          <w:sz w:val="28"/>
          <w:szCs w:val="28"/>
          <w14:textFill>
            <w14:solidFill>
              <w14:schemeClr w14:val="tx1"/>
            </w14:solidFill>
          </w14:textFill>
        </w:rPr>
      </w:pPr>
    </w:p>
    <w:p w14:paraId="57FC7A7C">
      <w:pPr>
        <w:rPr>
          <w:color w:val="000000" w:themeColor="text1"/>
          <w:sz w:val="28"/>
          <w:szCs w:val="28"/>
          <w14:textFill>
            <w14:solidFill>
              <w14:schemeClr w14:val="tx1"/>
            </w14:solidFill>
          </w14:textFill>
        </w:rPr>
      </w:pPr>
    </w:p>
    <w:p w14:paraId="7A168F52">
      <w:pPr>
        <w:jc w:val="center"/>
        <w:rPr>
          <w:rFonts w:ascii="Calibri" w:hAnsi="Calibri" w:eastAsia="宋体" w:cs="Times New Roman"/>
          <w:b/>
          <w:bCs/>
          <w:color w:val="000000" w:themeColor="text1"/>
          <w:sz w:val="32"/>
          <w:szCs w:val="28"/>
          <w:lang w:bidi="ar"/>
          <w14:textFill>
            <w14:solidFill>
              <w14:schemeClr w14:val="tx1"/>
            </w14:solidFill>
          </w14:textFill>
        </w:rPr>
      </w:pPr>
    </w:p>
    <w:p w14:paraId="7622E785">
      <w:pPr>
        <w:rPr>
          <w:b/>
          <w:bCs/>
          <w:color w:val="000000" w:themeColor="text1"/>
          <w:sz w:val="32"/>
          <w:szCs w:val="28"/>
          <w14:textFill>
            <w14:solidFill>
              <w14:schemeClr w14:val="tx1"/>
            </w14:solidFill>
          </w14:textFill>
        </w:rPr>
      </w:pPr>
      <w:r>
        <w:rPr>
          <w:rFonts w:hint="eastAsia" w:ascii="Calibri" w:hAnsi="Calibri" w:eastAsia="宋体" w:cs="Times New Roman"/>
          <w:b/>
          <w:bCs/>
          <w:color w:val="000000" w:themeColor="text1"/>
          <w:sz w:val="32"/>
          <w:szCs w:val="28"/>
          <w:lang w:bidi="ar"/>
          <w14:textFill>
            <w14:solidFill>
              <w14:schemeClr w14:val="tx1"/>
            </w14:solidFill>
          </w14:textFill>
        </w:rPr>
        <w:t>八、学位论文答辩</w:t>
      </w:r>
    </w:p>
    <w:p w14:paraId="4D298D9F">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（一）考核内容</w:t>
      </w:r>
    </w:p>
    <w:p w14:paraId="3193FB67">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国内外研究现状分析、技术路线、研究过程及内容、研究结论、论文创新点、论文写作规范等。</w:t>
      </w:r>
    </w:p>
    <w:p w14:paraId="22E38A61">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（二）考核标准</w:t>
      </w:r>
    </w:p>
    <w:p w14:paraId="251EB8B4">
      <w:pPr>
        <w:ind w:firstLine="560" w:firstLineChars="200"/>
        <w:rPr>
          <w:rFonts w:hint="eastAsia" w:ascii="MS Mincho" w:hAnsi="MS Mincho" w:eastAsia="宋体" w:cs="MS Mincho"/>
          <w:sz w:val="28"/>
          <w:szCs w:val="28"/>
        </w:rPr>
      </w:pPr>
      <w:r>
        <w:rPr>
          <w:rFonts w:hint="eastAsia" w:ascii="MS Mincho" w:hAnsi="MS Mincho" w:eastAsia="宋体" w:cs="MS Mincho"/>
          <w:sz w:val="28"/>
          <w:szCs w:val="28"/>
        </w:rPr>
        <w:t>按照</w:t>
      </w:r>
      <w:r>
        <w:rPr>
          <w:rFonts w:ascii="MS Mincho" w:hAnsi="MS Mincho" w:eastAsia="宋体" w:cs="MS Mincho"/>
          <w:sz w:val="28"/>
          <w:szCs w:val="28"/>
        </w:rPr>
        <w:t>本学科学位论文基本要求进行</w:t>
      </w:r>
      <w:r>
        <w:rPr>
          <w:rFonts w:hint="eastAsia" w:ascii="MS Mincho" w:hAnsi="MS Mincho" w:eastAsia="宋体" w:cs="MS Mincho"/>
          <w:sz w:val="28"/>
          <w:szCs w:val="28"/>
        </w:rPr>
        <w:t>考核</w:t>
      </w:r>
      <w:r>
        <w:rPr>
          <w:rFonts w:ascii="MS Mincho" w:hAnsi="MS Mincho" w:eastAsia="宋体" w:cs="MS Mincho"/>
          <w:sz w:val="28"/>
          <w:szCs w:val="28"/>
        </w:rPr>
        <w:t>。</w:t>
      </w:r>
    </w:p>
    <w:p w14:paraId="2C90E4F1">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（三）考核时间</w:t>
      </w:r>
    </w:p>
    <w:p w14:paraId="53E94CC8">
      <w:pPr>
        <w:ind w:firstLine="560" w:firstLineChars="200"/>
        <w:rPr>
          <w:rFonts w:ascii="Times New Roman" w:hAnsi="Times New Roman" w:eastAsia="宋体" w:cs="Times New Roman"/>
          <w:sz w:val="28"/>
          <w:szCs w:val="28"/>
        </w:rPr>
      </w:pPr>
      <w:r>
        <w:rPr>
          <w:rFonts w:ascii="Times New Roman" w:hAnsi="Times New Roman" w:eastAsia="宋体" w:cs="Times New Roman"/>
          <w:sz w:val="28"/>
        </w:rPr>
        <w:t>博士学位论文答辩一般应在第一次开题报告通过2年后、硕士学位论文答辩一般应在第一次开题审核通过1年后进行。具体安排在</w:t>
      </w:r>
      <w:r>
        <w:rPr>
          <w:rFonts w:ascii="Times New Roman" w:hAnsi="Times New Roman" w:eastAsia="宋体" w:cs="Times New Roman"/>
          <w:sz w:val="28"/>
          <w:szCs w:val="28"/>
        </w:rPr>
        <w:t>毕业前1-2个月内举行。</w:t>
      </w:r>
    </w:p>
    <w:p w14:paraId="4D8FF026">
      <w:pPr>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（四）考核方式</w:t>
      </w:r>
    </w:p>
    <w:p w14:paraId="4F805966">
      <w:pPr>
        <w:ind w:firstLine="560" w:firstLineChars="200"/>
        <w:rPr>
          <w:rFonts w:ascii="Calibri" w:hAnsi="Calibri" w:eastAsia="宋体" w:cs="Times New Roman"/>
          <w:sz w:val="28"/>
          <w:szCs w:val="28"/>
          <w:lang w:bidi="ar"/>
        </w:rPr>
      </w:pPr>
      <w:r>
        <w:rPr>
          <w:rFonts w:ascii="Times New Roman" w:hAnsi="Times New Roman" w:eastAsia="宋体" w:cs="Times New Roman"/>
          <w:sz w:val="28"/>
          <w:szCs w:val="28"/>
          <w:lang w:bidi="ar"/>
        </w:rPr>
        <w:t>学位论文答辩采用现场考核形式进行，研究生向答辩委员会专家汇报学位论文情况，答辩小组成员对学位论文进行质疑，对</w:t>
      </w:r>
      <w:r>
        <w:rPr>
          <w:rFonts w:hint="eastAsia" w:ascii="Calibri" w:hAnsi="Calibri" w:eastAsia="宋体" w:cs="Times New Roman"/>
          <w:sz w:val="28"/>
          <w:szCs w:val="28"/>
          <w:lang w:bidi="ar"/>
        </w:rPr>
        <w:t>论文的创新性、应用性</w:t>
      </w:r>
      <w:r>
        <w:rPr>
          <w:rFonts w:ascii="Calibri" w:hAnsi="Calibri" w:eastAsia="宋体" w:cs="Times New Roman"/>
          <w:sz w:val="28"/>
          <w:szCs w:val="28"/>
          <w:lang w:bidi="ar"/>
        </w:rPr>
        <w:t>、</w:t>
      </w:r>
      <w:r>
        <w:rPr>
          <w:rFonts w:hint="eastAsia" w:ascii="Calibri" w:hAnsi="Calibri" w:eastAsia="宋体" w:cs="Times New Roman"/>
          <w:sz w:val="28"/>
          <w:szCs w:val="28"/>
          <w:lang w:bidi="ar"/>
        </w:rPr>
        <w:t>学术水平、研究成果、写作规范性等进行评议。</w:t>
      </w:r>
    </w:p>
    <w:p w14:paraId="15142E57">
      <w:pPr>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（五）考核程序</w:t>
      </w:r>
    </w:p>
    <w:p w14:paraId="468AC572">
      <w:pPr>
        <w:ind w:firstLine="560" w:firstLineChars="200"/>
        <w:rPr>
          <w:rFonts w:ascii="Times New Roman" w:hAnsi="Times New Roman" w:eastAsia="宋体" w:cs="Times New Roman"/>
          <w:sz w:val="28"/>
        </w:rPr>
      </w:pPr>
      <w:r>
        <w:rPr>
          <w:rFonts w:ascii="Times New Roman" w:hAnsi="Times New Roman" w:eastAsia="宋体" w:cs="Times New Roman"/>
          <w:sz w:val="28"/>
        </w:rPr>
        <w:t>1、答辩委员会主席宣布开会，宣读答辩委员会成员名单、申请人姓名和论文题目等。</w:t>
      </w:r>
    </w:p>
    <w:p w14:paraId="03396B0D">
      <w:pPr>
        <w:ind w:firstLine="560" w:firstLineChars="200"/>
        <w:rPr>
          <w:rFonts w:ascii="Times New Roman" w:hAnsi="Times New Roman" w:eastAsia="宋体" w:cs="Times New Roman"/>
          <w:sz w:val="28"/>
        </w:rPr>
      </w:pPr>
      <w:r>
        <w:rPr>
          <w:rFonts w:ascii="Times New Roman" w:hAnsi="Times New Roman" w:eastAsia="宋体" w:cs="Times New Roman"/>
          <w:sz w:val="28"/>
        </w:rPr>
        <w:t>2、导师简要介绍研究生的课程学习成绩、从事科研工作情况、论文外审结果和评审专家意见等，论文外审结果和评审专家意见也可提前发送至答辩委员会成员。</w:t>
      </w:r>
    </w:p>
    <w:p w14:paraId="2392A8D1">
      <w:pPr>
        <w:ind w:firstLine="560" w:firstLineChars="200"/>
        <w:rPr>
          <w:rFonts w:hint="eastAsia" w:ascii="宋体" w:hAnsi="宋体" w:eastAsia="宋体"/>
          <w:sz w:val="28"/>
        </w:rPr>
      </w:pPr>
      <w:r>
        <w:rPr>
          <w:rFonts w:ascii="Times New Roman" w:hAnsi="Times New Roman" w:eastAsia="宋体" w:cs="Times New Roman"/>
          <w:sz w:val="28"/>
        </w:rPr>
        <w:t>3、研究生报告论文的主要内容</w:t>
      </w:r>
      <w:r>
        <w:rPr>
          <w:rFonts w:hint="eastAsia" w:ascii="Times New Roman" w:hAnsi="Times New Roman" w:eastAsia="宋体" w:cs="Times New Roman"/>
          <w:sz w:val="28"/>
        </w:rPr>
        <w:t>（</w:t>
      </w:r>
      <w:r>
        <w:rPr>
          <w:rFonts w:ascii="Times New Roman" w:hAnsi="Times New Roman" w:eastAsia="宋体" w:cs="Times New Roman"/>
          <w:sz w:val="28"/>
        </w:rPr>
        <w:t>硕士论文半小时，博士论文不超</w:t>
      </w:r>
      <w:r>
        <w:rPr>
          <w:rFonts w:ascii="宋体" w:hAnsi="宋体" w:eastAsia="宋体"/>
          <w:sz w:val="28"/>
        </w:rPr>
        <w:t>过一小时</w:t>
      </w:r>
      <w:r>
        <w:rPr>
          <w:rFonts w:hint="eastAsia" w:ascii="宋体" w:hAnsi="宋体" w:eastAsia="宋体"/>
          <w:sz w:val="28"/>
        </w:rPr>
        <w:t>）。</w:t>
      </w:r>
    </w:p>
    <w:p w14:paraId="292A2789">
      <w:pPr>
        <w:ind w:firstLine="560" w:firstLineChars="200"/>
        <w:rPr>
          <w:rFonts w:ascii="Times New Roman" w:hAnsi="Times New Roman" w:eastAsia="宋体" w:cs="Times New Roman"/>
          <w:sz w:val="28"/>
        </w:rPr>
      </w:pPr>
      <w:r>
        <w:rPr>
          <w:rFonts w:ascii="Times New Roman" w:hAnsi="Times New Roman" w:eastAsia="宋体" w:cs="Times New Roman"/>
          <w:sz w:val="28"/>
        </w:rPr>
        <w:t>4、与会者提问</w:t>
      </w:r>
      <w:r>
        <w:rPr>
          <w:rFonts w:hint="eastAsia" w:ascii="Times New Roman" w:hAnsi="Times New Roman" w:eastAsia="宋体" w:cs="Times New Roman"/>
          <w:sz w:val="28"/>
        </w:rPr>
        <w:t>及</w:t>
      </w:r>
      <w:r>
        <w:rPr>
          <w:rFonts w:ascii="Times New Roman" w:hAnsi="Times New Roman" w:eastAsia="宋体" w:cs="Times New Roman"/>
          <w:sz w:val="28"/>
        </w:rPr>
        <w:t>研究生答辩。</w:t>
      </w:r>
    </w:p>
    <w:p w14:paraId="1ABB2C39">
      <w:pPr>
        <w:ind w:firstLine="560" w:firstLineChars="200"/>
        <w:rPr>
          <w:rFonts w:ascii="Times New Roman" w:hAnsi="Times New Roman" w:eastAsia="宋体" w:cs="Times New Roman"/>
          <w:sz w:val="28"/>
        </w:rPr>
      </w:pPr>
      <w:r>
        <w:rPr>
          <w:rFonts w:ascii="Times New Roman" w:hAnsi="Times New Roman" w:eastAsia="宋体" w:cs="Times New Roman"/>
          <w:sz w:val="28"/>
        </w:rPr>
        <w:t>5、休会：导师、研究生、列席旁听人员退场，答辩委员会举行会议，答辩秘书宣读论文评阅人的学术评语及《学位论文修改书》，委员就论文及答辩情况交换意见，以无记名投票方式就论文是否通过、是否同意授予学位进行表决，并做出书面决议。</w:t>
      </w:r>
      <w:r>
        <w:rPr>
          <w:rFonts w:ascii="Times New Roman" w:hAnsi="Times New Roman" w:eastAsia="宋体" w:cs="Times New Roman"/>
          <w:sz w:val="28"/>
          <w:szCs w:val="28"/>
        </w:rPr>
        <w:t>学位论文需要全体答</w:t>
      </w:r>
      <w:r>
        <w:rPr>
          <w:rFonts w:hint="eastAsia" w:ascii="MS Mincho" w:hAnsi="MS Mincho" w:eastAsia="宋体" w:cs="MS Mincho"/>
          <w:sz w:val="28"/>
          <w:szCs w:val="28"/>
        </w:rPr>
        <w:t>辩委</w:t>
      </w:r>
      <w:r>
        <w:rPr>
          <w:rFonts w:ascii="Times New Roman" w:hAnsi="Times New Roman" w:eastAsia="宋体" w:cs="Times New Roman"/>
          <w:sz w:val="28"/>
          <w:szCs w:val="28"/>
        </w:rPr>
        <w:t>员的三分之二以上（含三分之二）同意方为通过。答辩委员会决议、会议记录需要经过主席审阅签字。</w:t>
      </w:r>
    </w:p>
    <w:p w14:paraId="4C721BB8">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sz w:val="28"/>
        </w:rPr>
        <w:t>6、复会：导师和研究生回到会场主席宣布论文是否通过和对论文的评语。</w:t>
      </w:r>
    </w:p>
    <w:p w14:paraId="189F82EB">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（六）考核人员组成</w:t>
      </w:r>
    </w:p>
    <w:p w14:paraId="52135249">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eastAsia="宋体" w:cs="Times New Roman"/>
          <w:color w:val="000000" w:themeColor="text1"/>
          <w:sz w:val="28"/>
          <w:szCs w:val="28"/>
          <w14:textFill>
            <w14:solidFill>
              <w14:schemeClr w14:val="tx1"/>
            </w14:solidFill>
          </w14:textFill>
        </w:rPr>
        <w:t>博士研究生答辩由导师负责聘请研究领域一致或者相近的至少7名教授（或相当职称）或博士生指导教师组成专家组，其中博导不少于5人，校外专家不少于3人，组成人员须经学院学位评定分委员会审议、校学位评定委员会审核。</w:t>
      </w:r>
    </w:p>
    <w:p w14:paraId="4AEF0884">
      <w:pPr>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硕士研究生答辩由导师负责聘请研究领域一致或者相近的至少5名副教授（或相当职称）及以上或研究生指导教师组成专家组，其中校外专家不少于2人，组成人员须经学院学位评定分委员会</w:t>
      </w:r>
      <w:r>
        <w:rPr>
          <w:rFonts w:ascii="Times New Roman" w:hAnsi="Times New Roman" w:eastAsia="宋体" w:cs="Times New Roman"/>
          <w:color w:val="000000" w:themeColor="text1"/>
          <w:sz w:val="28"/>
          <w:szCs w:val="28"/>
          <w14:textFill>
            <w14:solidFill>
              <w14:schemeClr w14:val="tx1"/>
            </w14:solidFill>
          </w14:textFill>
        </w:rPr>
        <w:t>审核。</w:t>
      </w:r>
    </w:p>
    <w:p w14:paraId="0042FE9F">
      <w:pPr>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（七）学生申诉处理委员会组成及申诉、议事规则</w:t>
      </w:r>
    </w:p>
    <w:p w14:paraId="43F3A81E">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学生申诉委员会由学院党委书记、院长、分管研究生工作的副院长、纪检委员、系主任和研究生秘书组成。</w:t>
      </w:r>
    </w:p>
    <w:p w14:paraId="2D2080BD">
      <w:pPr>
        <w:ind w:firstLine="560" w:firstLineChars="200"/>
        <w:rPr>
          <w:rFonts w:hint="eastAsia" w:ascii="MS Mincho" w:hAnsi="MS Mincho" w:eastAsia="宋体" w:cs="MS Mincho"/>
          <w:color w:val="000000" w:themeColor="text1"/>
          <w:sz w:val="28"/>
          <w:szCs w:val="28"/>
          <w14:textFill>
            <w14:solidFill>
              <w14:schemeClr w14:val="tx1"/>
            </w14:solidFill>
          </w14:textFill>
        </w:rPr>
      </w:pPr>
      <w:r>
        <w:rPr>
          <w:rFonts w:hint="eastAsia" w:ascii="MS Mincho" w:hAnsi="MS Mincho" w:eastAsia="宋体" w:cs="MS Mincho"/>
          <w:color w:val="000000" w:themeColor="text1"/>
          <w:sz w:val="28"/>
          <w:szCs w:val="28"/>
          <w14:textFill>
            <w14:solidFill>
              <w14:schemeClr w14:val="tx1"/>
            </w14:solidFill>
          </w14:textFill>
        </w:rPr>
        <w:t>学生申诉须提出书面申请，由申诉处理委员会聘请专门人员进行审核，并给出书面审核结论。</w:t>
      </w:r>
    </w:p>
    <w:p w14:paraId="254BA1A8">
      <w:pPr>
        <w:rPr>
          <w:rFonts w:ascii="Times New Roman" w:hAnsi="Times New Roman" w:cs="Times New Roman"/>
          <w:color w:val="000000" w:themeColor="text1"/>
          <w:sz w:val="28"/>
          <w:szCs w:val="28"/>
          <w14:textFill>
            <w14:solidFill>
              <w14:schemeClr w14:val="tx1"/>
            </w14:solidFill>
          </w14:textFill>
        </w:rPr>
      </w:pPr>
      <w:bookmarkStart w:id="0" w:name="_GoBack"/>
      <w:bookmarkEnd w:id="0"/>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20E1A">
    <w:pPr>
      <w:pStyle w:val="4"/>
      <w:jc w:val="cen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1182437"/>
    </w:sdtPr>
    <w:sdtEndPr>
      <w:rPr>
        <w:rFonts w:ascii="Times New Roman" w:hAnsi="Times New Roman" w:cs="Times New Roman"/>
      </w:rPr>
    </w:sdtEndPr>
    <w:sdtContent>
      <w:p w14:paraId="23C68049">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NWQwYThiMGI1YThiZTI2YTA5OGFhNGEyYTI4MWMifQ=="/>
  </w:docVars>
  <w:rsids>
    <w:rsidRoot w:val="6BEC51E6"/>
    <w:rsid w:val="00094FDD"/>
    <w:rsid w:val="000C1454"/>
    <w:rsid w:val="000F5EAA"/>
    <w:rsid w:val="001322EE"/>
    <w:rsid w:val="00150977"/>
    <w:rsid w:val="001D03E0"/>
    <w:rsid w:val="001D0440"/>
    <w:rsid w:val="001D09CF"/>
    <w:rsid w:val="0020058F"/>
    <w:rsid w:val="0025104D"/>
    <w:rsid w:val="002562FE"/>
    <w:rsid w:val="002A7ECF"/>
    <w:rsid w:val="0030542B"/>
    <w:rsid w:val="0032455B"/>
    <w:rsid w:val="003801FF"/>
    <w:rsid w:val="003B159D"/>
    <w:rsid w:val="003B5494"/>
    <w:rsid w:val="003C4892"/>
    <w:rsid w:val="003C6123"/>
    <w:rsid w:val="0043192A"/>
    <w:rsid w:val="00431EBA"/>
    <w:rsid w:val="00465100"/>
    <w:rsid w:val="00472B89"/>
    <w:rsid w:val="00492772"/>
    <w:rsid w:val="00494168"/>
    <w:rsid w:val="004A3665"/>
    <w:rsid w:val="004E6FD1"/>
    <w:rsid w:val="005117C4"/>
    <w:rsid w:val="005C7015"/>
    <w:rsid w:val="005D4116"/>
    <w:rsid w:val="006060F9"/>
    <w:rsid w:val="00614220"/>
    <w:rsid w:val="00681ECA"/>
    <w:rsid w:val="00692231"/>
    <w:rsid w:val="00694279"/>
    <w:rsid w:val="00695B73"/>
    <w:rsid w:val="006A3EBB"/>
    <w:rsid w:val="006A7F2E"/>
    <w:rsid w:val="006B7854"/>
    <w:rsid w:val="007568B2"/>
    <w:rsid w:val="0078022A"/>
    <w:rsid w:val="007A25A3"/>
    <w:rsid w:val="007F04A4"/>
    <w:rsid w:val="00800473"/>
    <w:rsid w:val="00881DA2"/>
    <w:rsid w:val="008F348F"/>
    <w:rsid w:val="00977E44"/>
    <w:rsid w:val="00983C7C"/>
    <w:rsid w:val="00986490"/>
    <w:rsid w:val="009E2D69"/>
    <w:rsid w:val="009F28BB"/>
    <w:rsid w:val="009F6AA7"/>
    <w:rsid w:val="00A15FCB"/>
    <w:rsid w:val="00A55B35"/>
    <w:rsid w:val="00AB24AD"/>
    <w:rsid w:val="00AD2AF1"/>
    <w:rsid w:val="00AF20A9"/>
    <w:rsid w:val="00B413E0"/>
    <w:rsid w:val="00B83EC0"/>
    <w:rsid w:val="00B8595D"/>
    <w:rsid w:val="00BA622E"/>
    <w:rsid w:val="00BD0229"/>
    <w:rsid w:val="00C03CE9"/>
    <w:rsid w:val="00C06651"/>
    <w:rsid w:val="00C37257"/>
    <w:rsid w:val="00C85FF0"/>
    <w:rsid w:val="00CC31B2"/>
    <w:rsid w:val="00CC76C4"/>
    <w:rsid w:val="00D0558D"/>
    <w:rsid w:val="00D14002"/>
    <w:rsid w:val="00D862B3"/>
    <w:rsid w:val="00DA0BB8"/>
    <w:rsid w:val="00DD5130"/>
    <w:rsid w:val="00DE2A02"/>
    <w:rsid w:val="00EB7F3F"/>
    <w:rsid w:val="00EE3B3B"/>
    <w:rsid w:val="00EF1E4C"/>
    <w:rsid w:val="00EF77F5"/>
    <w:rsid w:val="00F3780F"/>
    <w:rsid w:val="00FB6B31"/>
    <w:rsid w:val="00FE4F34"/>
    <w:rsid w:val="00FF6003"/>
    <w:rsid w:val="00FF687E"/>
    <w:rsid w:val="02807592"/>
    <w:rsid w:val="03483118"/>
    <w:rsid w:val="035B1AE9"/>
    <w:rsid w:val="04C24375"/>
    <w:rsid w:val="06933AC2"/>
    <w:rsid w:val="06C82AEE"/>
    <w:rsid w:val="08A8232C"/>
    <w:rsid w:val="08D315FC"/>
    <w:rsid w:val="0ACC44B5"/>
    <w:rsid w:val="0ADE4D48"/>
    <w:rsid w:val="0B0920CF"/>
    <w:rsid w:val="0B29590C"/>
    <w:rsid w:val="0B4029F5"/>
    <w:rsid w:val="0B66576D"/>
    <w:rsid w:val="0BA37C92"/>
    <w:rsid w:val="0C341384"/>
    <w:rsid w:val="0C8D6BDC"/>
    <w:rsid w:val="0D355BA5"/>
    <w:rsid w:val="0EC2607D"/>
    <w:rsid w:val="0EE4447D"/>
    <w:rsid w:val="0F07744A"/>
    <w:rsid w:val="0F145807"/>
    <w:rsid w:val="0F633064"/>
    <w:rsid w:val="0F765C67"/>
    <w:rsid w:val="0F853976"/>
    <w:rsid w:val="0FAC5245"/>
    <w:rsid w:val="104B19F2"/>
    <w:rsid w:val="12676086"/>
    <w:rsid w:val="13655A74"/>
    <w:rsid w:val="13CA1806"/>
    <w:rsid w:val="141F569C"/>
    <w:rsid w:val="150376B1"/>
    <w:rsid w:val="154E3828"/>
    <w:rsid w:val="15DA57C6"/>
    <w:rsid w:val="170B0429"/>
    <w:rsid w:val="181D4901"/>
    <w:rsid w:val="1ADD7E7C"/>
    <w:rsid w:val="1CB7496B"/>
    <w:rsid w:val="1D9F6F0B"/>
    <w:rsid w:val="1E936F7B"/>
    <w:rsid w:val="1F0C7867"/>
    <w:rsid w:val="20191D44"/>
    <w:rsid w:val="2064241D"/>
    <w:rsid w:val="20FF32D2"/>
    <w:rsid w:val="210B33C9"/>
    <w:rsid w:val="22EF45AF"/>
    <w:rsid w:val="22FA684E"/>
    <w:rsid w:val="255E7F94"/>
    <w:rsid w:val="279525F7"/>
    <w:rsid w:val="283A79FE"/>
    <w:rsid w:val="28F23D74"/>
    <w:rsid w:val="290072CD"/>
    <w:rsid w:val="29950DB3"/>
    <w:rsid w:val="2A464B87"/>
    <w:rsid w:val="2A767405"/>
    <w:rsid w:val="2BAD3FB8"/>
    <w:rsid w:val="2C0E3884"/>
    <w:rsid w:val="2C925DD9"/>
    <w:rsid w:val="2D3337A7"/>
    <w:rsid w:val="2E337504"/>
    <w:rsid w:val="2E4B1556"/>
    <w:rsid w:val="2E4D329F"/>
    <w:rsid w:val="2F2B5ECC"/>
    <w:rsid w:val="2FA953DA"/>
    <w:rsid w:val="312561D3"/>
    <w:rsid w:val="333965F6"/>
    <w:rsid w:val="3390386A"/>
    <w:rsid w:val="33C73EE2"/>
    <w:rsid w:val="33CA6760"/>
    <w:rsid w:val="342665F4"/>
    <w:rsid w:val="37FE538C"/>
    <w:rsid w:val="3B6F0D23"/>
    <w:rsid w:val="3BAC6A31"/>
    <w:rsid w:val="3C0C7F71"/>
    <w:rsid w:val="3CAA473A"/>
    <w:rsid w:val="3D512794"/>
    <w:rsid w:val="3E7C76A8"/>
    <w:rsid w:val="3E81287F"/>
    <w:rsid w:val="3E87638C"/>
    <w:rsid w:val="3F1C7F01"/>
    <w:rsid w:val="40283239"/>
    <w:rsid w:val="40D639A5"/>
    <w:rsid w:val="41B424D2"/>
    <w:rsid w:val="42637981"/>
    <w:rsid w:val="428E3485"/>
    <w:rsid w:val="44263DB5"/>
    <w:rsid w:val="44966707"/>
    <w:rsid w:val="45127CAB"/>
    <w:rsid w:val="45B76D86"/>
    <w:rsid w:val="47CE6913"/>
    <w:rsid w:val="494541AC"/>
    <w:rsid w:val="4A3A2C72"/>
    <w:rsid w:val="4AD40FA3"/>
    <w:rsid w:val="4BD51991"/>
    <w:rsid w:val="4BFA30C4"/>
    <w:rsid w:val="4D4D220D"/>
    <w:rsid w:val="4FED4B5D"/>
    <w:rsid w:val="516A494E"/>
    <w:rsid w:val="51A237A6"/>
    <w:rsid w:val="51C11186"/>
    <w:rsid w:val="540E4DDF"/>
    <w:rsid w:val="554B0F65"/>
    <w:rsid w:val="557A1B00"/>
    <w:rsid w:val="56B51D70"/>
    <w:rsid w:val="57B878BB"/>
    <w:rsid w:val="587156B8"/>
    <w:rsid w:val="58BB1C6A"/>
    <w:rsid w:val="58CC0FF5"/>
    <w:rsid w:val="599D3E57"/>
    <w:rsid w:val="5C531724"/>
    <w:rsid w:val="5C761673"/>
    <w:rsid w:val="5CD008D1"/>
    <w:rsid w:val="5D7149C8"/>
    <w:rsid w:val="5E182C3D"/>
    <w:rsid w:val="5F3910A6"/>
    <w:rsid w:val="5F437AC9"/>
    <w:rsid w:val="614E4037"/>
    <w:rsid w:val="62FF20D5"/>
    <w:rsid w:val="644843C2"/>
    <w:rsid w:val="649A56D3"/>
    <w:rsid w:val="65117966"/>
    <w:rsid w:val="6570486F"/>
    <w:rsid w:val="673E32E4"/>
    <w:rsid w:val="68536CAB"/>
    <w:rsid w:val="68572DF1"/>
    <w:rsid w:val="69D45F83"/>
    <w:rsid w:val="6A9C4AD6"/>
    <w:rsid w:val="6AA817F4"/>
    <w:rsid w:val="6BEC51E6"/>
    <w:rsid w:val="6CA36264"/>
    <w:rsid w:val="6D890246"/>
    <w:rsid w:val="6E946AD3"/>
    <w:rsid w:val="6ECA0C31"/>
    <w:rsid w:val="71405E60"/>
    <w:rsid w:val="73134DC9"/>
    <w:rsid w:val="73BF3EE7"/>
    <w:rsid w:val="77AB4B96"/>
    <w:rsid w:val="788E1B1B"/>
    <w:rsid w:val="7A665B72"/>
    <w:rsid w:val="7ACE4A7B"/>
    <w:rsid w:val="7B3F2748"/>
    <w:rsid w:val="7B5639F3"/>
    <w:rsid w:val="7C360C1A"/>
    <w:rsid w:val="7D31000E"/>
    <w:rsid w:val="7DC04855"/>
    <w:rsid w:val="7EF44DC5"/>
    <w:rsid w:val="7FF61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页脚 字符"/>
    <w:basedOn w:val="8"/>
    <w:link w:val="4"/>
    <w:qFormat/>
    <w:uiPriority w:val="99"/>
    <w:rPr>
      <w:rFonts w:asciiTheme="minorHAnsi" w:hAnsiTheme="minorHAnsi" w:eastAsiaTheme="minorEastAsia" w:cstheme="minorBidi"/>
      <w:kern w:val="2"/>
      <w:sz w:val="18"/>
      <w:szCs w:val="18"/>
    </w:r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98DA4-0877-4E6C-BC13-CC13AFE781C5}">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18</Pages>
  <Words>5380</Words>
  <Characters>5425</Characters>
  <Lines>41</Lines>
  <Paragraphs>11</Paragraphs>
  <TotalTime>34</TotalTime>
  <ScaleCrop>false</ScaleCrop>
  <LinksUpToDate>false</LinksUpToDate>
  <CharactersWithSpaces>5486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2024-05-22T14:21:00Z</dcterms:created>
  <dc:creator>Jessica</dc:creator>
  <cp:lastModifiedBy>ZJ</cp:lastModifiedBy>
  <dcterms:modified xsi:type="dcterms:W3CDTF">2026-04-08T07:05:45Z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FF90FDB7952F4804B8FBAB851F2A66A8_13</vt:lpwstr>
  </property>
  <property fmtid="{D5CDD505-2E9C-101B-9397-08002B2CF9AE}" pid="4" name="KSOTemplateDocerSaveRecord">
    <vt:lpwstr>eyJoZGlkIjoiZmNkZDg0ZjNmZWQwZWFiODFjYzgyNWU1YTllNWRkN2EiLCJ1c2VySWQiOiIzNzA5MjQ1NTEifQ==</vt:lpwstr>
  </property>
</Properties>
</file>