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BB77BE">
      <w:pPr>
        <w:jc w:val="center"/>
        <w:rPr>
          <w:rFonts w:ascii="Times New Roman" w:hAnsi="Times New Roman" w:eastAsia="黑体" w:cs="Times New Roman"/>
          <w:b/>
          <w:bCs/>
          <w:sz w:val="62"/>
          <w:szCs w:val="62"/>
        </w:rPr>
      </w:pPr>
      <w:r>
        <w:rPr>
          <w:rFonts w:ascii="Times New Roman" w:hAnsi="Times New Roman" w:eastAsia="黑体" w:cs="Times New Roman"/>
          <w:b/>
          <w:bCs/>
          <w:sz w:val="62"/>
          <w:szCs w:val="62"/>
        </w:rPr>
        <w:t>学术学位研究生</w:t>
      </w:r>
    </w:p>
    <w:p w14:paraId="20ED9848">
      <w:pPr>
        <w:rPr>
          <w:rFonts w:ascii="Times New Roman" w:hAnsi="Times New Roman" w:eastAsia="黑体" w:cs="Times New Roman"/>
          <w:b/>
          <w:bCs/>
          <w:sz w:val="62"/>
          <w:szCs w:val="62"/>
        </w:rPr>
      </w:pPr>
      <w:r>
        <w:rPr>
          <w:rFonts w:ascii="Times New Roman" w:hAnsi="Times New Roman" w:eastAsia="黑体" w:cs="Times New Roman"/>
          <w:b/>
          <w:bCs/>
          <w:sz w:val="62"/>
          <w:szCs w:val="62"/>
        </w:rPr>
        <w:t>实践模块和培养环节实施细则</w:t>
      </w:r>
    </w:p>
    <w:p w14:paraId="55F7B6FB">
      <w:pPr>
        <w:rPr>
          <w:rFonts w:ascii="Times New Roman" w:hAnsi="Times New Roman" w:cs="Times New Roman"/>
          <w:b/>
          <w:bCs/>
          <w:sz w:val="52"/>
          <w:szCs w:val="72"/>
        </w:rPr>
      </w:pPr>
    </w:p>
    <w:p w14:paraId="1B339733">
      <w:pPr>
        <w:rPr>
          <w:rFonts w:ascii="Times New Roman" w:hAnsi="Times New Roman" w:cs="Times New Roman"/>
          <w:b/>
          <w:bCs/>
          <w:sz w:val="52"/>
          <w:szCs w:val="72"/>
        </w:rPr>
      </w:pPr>
    </w:p>
    <w:p w14:paraId="253C351A">
      <w:pPr>
        <w:rPr>
          <w:rFonts w:ascii="Times New Roman" w:hAnsi="Times New Roman" w:cs="Times New Roman"/>
          <w:b/>
          <w:bCs/>
          <w:sz w:val="52"/>
          <w:szCs w:val="72"/>
        </w:rPr>
      </w:pPr>
    </w:p>
    <w:p w14:paraId="11CDFB6B">
      <w:pPr>
        <w:rPr>
          <w:rFonts w:ascii="Times New Roman" w:hAnsi="Times New Roman" w:cs="Times New Roman"/>
          <w:sz w:val="48"/>
          <w:szCs w:val="56"/>
        </w:rPr>
      </w:pPr>
    </w:p>
    <w:p w14:paraId="2632EA99">
      <w:pPr>
        <w:rPr>
          <w:rFonts w:ascii="Times New Roman" w:hAnsi="Times New Roman" w:cs="Times New Roman"/>
          <w:sz w:val="48"/>
          <w:szCs w:val="56"/>
        </w:rPr>
      </w:pPr>
    </w:p>
    <w:p w14:paraId="0A5EC84D">
      <w:pPr>
        <w:rPr>
          <w:rFonts w:ascii="Times New Roman" w:hAnsi="Times New Roman" w:cs="Times New Roman"/>
          <w:sz w:val="48"/>
          <w:szCs w:val="56"/>
        </w:rPr>
      </w:pPr>
    </w:p>
    <w:p w14:paraId="7136E7D8">
      <w:pPr>
        <w:rPr>
          <w:rFonts w:ascii="Times New Roman" w:hAnsi="Times New Roman" w:cs="Times New Roman"/>
          <w:sz w:val="48"/>
          <w:szCs w:val="56"/>
        </w:rPr>
      </w:pPr>
    </w:p>
    <w:p w14:paraId="62693A4F">
      <w:pPr>
        <w:rPr>
          <w:rFonts w:ascii="Times New Roman" w:hAnsi="Times New Roman" w:cs="Times New Roman"/>
          <w:sz w:val="48"/>
          <w:szCs w:val="56"/>
        </w:rPr>
      </w:pPr>
    </w:p>
    <w:p w14:paraId="79EED7D1">
      <w:pPr>
        <w:ind w:firstLine="1800" w:firstLineChars="500"/>
        <w:rPr>
          <w:rFonts w:ascii="Times New Roman" w:hAnsi="Times New Roman" w:cs="Times New Roman"/>
          <w:sz w:val="36"/>
          <w:szCs w:val="44"/>
          <w:u w:val="single"/>
        </w:rPr>
      </w:pPr>
      <w:r>
        <w:rPr>
          <w:rFonts w:ascii="Times New Roman" w:hAnsi="Times New Roman" w:cs="Times New Roman"/>
          <w:sz w:val="36"/>
          <w:szCs w:val="44"/>
        </w:rPr>
        <w:t>学    科：</w:t>
      </w:r>
      <w:r>
        <w:rPr>
          <w:rFonts w:ascii="Times New Roman" w:hAnsi="Times New Roman" w:cs="Times New Roman"/>
          <w:sz w:val="36"/>
          <w:szCs w:val="44"/>
          <w:u w:val="single"/>
        </w:rPr>
        <w:t xml:space="preserve">  海洋地球物理学  </w:t>
      </w:r>
    </w:p>
    <w:p w14:paraId="5ADA5513">
      <w:pPr>
        <w:ind w:firstLine="1800" w:firstLineChars="500"/>
        <w:rPr>
          <w:rFonts w:ascii="Times New Roman" w:hAnsi="Times New Roman" w:cs="Times New Roman"/>
          <w:sz w:val="36"/>
          <w:szCs w:val="44"/>
          <w:u w:val="single"/>
        </w:rPr>
      </w:pPr>
      <w:r>
        <w:rPr>
          <w:rFonts w:ascii="Times New Roman" w:hAnsi="Times New Roman" w:cs="Times New Roman"/>
          <w:sz w:val="36"/>
          <w:szCs w:val="44"/>
        </w:rPr>
        <w:t>学科代码：</w:t>
      </w:r>
      <w:r>
        <w:rPr>
          <w:rFonts w:ascii="Times New Roman" w:hAnsi="Times New Roman" w:cs="Times New Roman"/>
          <w:sz w:val="36"/>
          <w:szCs w:val="44"/>
          <w:u w:val="single"/>
        </w:rPr>
        <w:t xml:space="preserve">     0707Z5       </w:t>
      </w:r>
    </w:p>
    <w:p w14:paraId="04FEA654">
      <w:pPr>
        <w:ind w:firstLine="1800" w:firstLineChars="500"/>
        <w:rPr>
          <w:rFonts w:ascii="Times New Roman" w:hAnsi="Times New Roman" w:cs="Times New Roman"/>
          <w:sz w:val="36"/>
          <w:szCs w:val="44"/>
        </w:rPr>
      </w:pPr>
      <w:r>
        <w:rPr>
          <w:rFonts w:ascii="Times New Roman" w:hAnsi="Times New Roman" w:cs="Times New Roman"/>
          <w:sz w:val="36"/>
          <w:szCs w:val="44"/>
        </w:rPr>
        <w:t>授权级别：</w:t>
      </w:r>
      <w:r>
        <w:rPr>
          <w:rFonts w:ascii="Times New Roman" w:hAnsi="Times New Roman" w:cs="Times New Roman"/>
          <w:sz w:val="36"/>
          <w:szCs w:val="44"/>
          <w:u w:val="single"/>
        </w:rPr>
        <w:t xml:space="preserve">        博士      </w:t>
      </w:r>
    </w:p>
    <w:p w14:paraId="383F91A0">
      <w:pPr>
        <w:ind w:firstLine="1800" w:firstLineChars="500"/>
        <w:rPr>
          <w:rFonts w:ascii="Times New Roman" w:hAnsi="Times New Roman" w:cs="Times New Roman"/>
          <w:sz w:val="36"/>
          <w:szCs w:val="44"/>
        </w:rPr>
      </w:pPr>
      <w:r>
        <w:rPr>
          <w:rFonts w:ascii="Times New Roman" w:hAnsi="Times New Roman" w:cs="Times New Roman"/>
          <w:sz w:val="36"/>
          <w:szCs w:val="44"/>
        </w:rPr>
        <w:t>制定日期：</w:t>
      </w:r>
      <w:r>
        <w:rPr>
          <w:rFonts w:ascii="Times New Roman" w:hAnsi="Times New Roman" w:cs="Times New Roman"/>
          <w:sz w:val="36"/>
          <w:szCs w:val="44"/>
          <w:u w:val="single"/>
        </w:rPr>
        <w:t xml:space="preserve">    202</w:t>
      </w:r>
      <w:r>
        <w:rPr>
          <w:rFonts w:hint="eastAsia" w:ascii="Times New Roman" w:hAnsi="Times New Roman" w:cs="Times New Roman"/>
          <w:sz w:val="36"/>
          <w:szCs w:val="44"/>
          <w:u w:val="single"/>
        </w:rPr>
        <w:t>5</w:t>
      </w:r>
      <w:r>
        <w:rPr>
          <w:rFonts w:ascii="Times New Roman" w:hAnsi="Times New Roman" w:cs="Times New Roman"/>
          <w:sz w:val="36"/>
          <w:szCs w:val="44"/>
          <w:u w:val="single"/>
        </w:rPr>
        <w:t>年</w:t>
      </w:r>
      <w:r>
        <w:rPr>
          <w:rFonts w:hint="eastAsia" w:ascii="Times New Roman" w:hAnsi="Times New Roman" w:cs="Times New Roman"/>
          <w:sz w:val="36"/>
          <w:szCs w:val="44"/>
          <w:u w:val="single"/>
        </w:rPr>
        <w:t>5</w:t>
      </w:r>
      <w:r>
        <w:rPr>
          <w:rFonts w:ascii="Times New Roman" w:hAnsi="Times New Roman" w:cs="Times New Roman"/>
          <w:sz w:val="36"/>
          <w:szCs w:val="44"/>
          <w:u w:val="single"/>
        </w:rPr>
        <w:t xml:space="preserve">月    </w:t>
      </w:r>
      <w:r>
        <w:rPr>
          <w:rFonts w:ascii="Times New Roman" w:hAnsi="Times New Roman" w:cs="Times New Roman"/>
          <w:sz w:val="36"/>
          <w:szCs w:val="44"/>
        </w:rPr>
        <w:t xml:space="preserve"> </w:t>
      </w:r>
    </w:p>
    <w:p w14:paraId="79C267EF">
      <w:pPr>
        <w:ind w:firstLine="1800" w:firstLineChars="500"/>
        <w:rPr>
          <w:rFonts w:ascii="Times New Roman" w:hAnsi="Times New Roman" w:cs="Times New Roman"/>
          <w:sz w:val="36"/>
          <w:szCs w:val="44"/>
        </w:rPr>
      </w:pPr>
    </w:p>
    <w:p w14:paraId="321A4099">
      <w:pPr>
        <w:ind w:firstLine="1800" w:firstLineChars="500"/>
        <w:rPr>
          <w:rFonts w:ascii="Times New Roman" w:hAnsi="Times New Roman" w:cs="Times New Roman"/>
          <w:sz w:val="36"/>
          <w:szCs w:val="44"/>
        </w:rPr>
      </w:pPr>
      <w:r>
        <w:rPr>
          <w:rFonts w:ascii="Times New Roman" w:hAnsi="Times New Roman" w:cs="Times New Roman"/>
          <w:sz w:val="36"/>
          <w:szCs w:val="44"/>
        </w:rPr>
        <w:t>学位评定分委员会主席签字：</w:t>
      </w:r>
    </w:p>
    <w:p w14:paraId="342D0254">
      <w:pPr>
        <w:ind w:firstLine="1800" w:firstLineChars="500"/>
        <w:rPr>
          <w:rFonts w:ascii="Times New Roman" w:hAnsi="Times New Roman" w:cs="Times New Roman"/>
          <w:sz w:val="36"/>
          <w:szCs w:val="44"/>
        </w:rPr>
      </w:pPr>
      <w:r>
        <w:rPr>
          <w:rFonts w:ascii="Times New Roman" w:hAnsi="Times New Roman" w:cs="Times New Roman"/>
          <w:sz w:val="36"/>
          <w:szCs w:val="44"/>
        </w:rPr>
        <w:t>学院（中心）章：</w:t>
      </w:r>
    </w:p>
    <w:p w14:paraId="3DBF14B3">
      <w:pPr>
        <w:ind w:firstLine="1800" w:firstLineChars="500"/>
        <w:rPr>
          <w:rFonts w:ascii="Times New Roman" w:hAnsi="Times New Roman" w:cs="Times New Roman"/>
          <w:sz w:val="36"/>
          <w:szCs w:val="44"/>
        </w:rPr>
      </w:pPr>
    </w:p>
    <w:p w14:paraId="6689FC1B">
      <w:pPr>
        <w:ind w:firstLine="1800" w:firstLineChars="500"/>
        <w:rPr>
          <w:rFonts w:ascii="Times New Roman" w:hAnsi="Times New Roman" w:cs="Times New Roman"/>
          <w:sz w:val="36"/>
          <w:szCs w:val="44"/>
        </w:rPr>
      </w:pPr>
    </w:p>
    <w:p w14:paraId="569972EC">
      <w:pPr>
        <w:ind w:firstLine="1800" w:firstLineChars="500"/>
        <w:rPr>
          <w:rFonts w:ascii="Times New Roman" w:hAnsi="Times New Roman" w:cs="Times New Roman"/>
          <w:sz w:val="36"/>
          <w:szCs w:val="44"/>
        </w:rPr>
      </w:pPr>
    </w:p>
    <w:p w14:paraId="57DA9CC7">
      <w:pPr>
        <w:ind w:firstLine="1800" w:firstLineChars="500"/>
        <w:rPr>
          <w:rFonts w:ascii="Times New Roman" w:hAnsi="Times New Roman" w:cs="Times New Roman"/>
          <w:sz w:val="36"/>
          <w:szCs w:val="44"/>
        </w:rPr>
      </w:pPr>
    </w:p>
    <w:p w14:paraId="78BD5E59">
      <w:pPr>
        <w:jc w:val="center"/>
        <w:rPr>
          <w:rFonts w:ascii="Times New Roman" w:hAnsi="Times New Roman" w:cs="Times New Roman"/>
          <w:sz w:val="28"/>
          <w:szCs w:val="28"/>
        </w:rPr>
      </w:pPr>
      <w:r>
        <w:rPr>
          <w:rFonts w:ascii="Times New Roman" w:hAnsi="Times New Roman" w:cs="Times New Roman"/>
          <w:sz w:val="28"/>
          <w:szCs w:val="28"/>
        </w:rPr>
        <w:t>编写说明</w:t>
      </w:r>
    </w:p>
    <w:p w14:paraId="13D9774B">
      <w:pPr>
        <w:ind w:firstLine="560" w:firstLineChars="200"/>
        <w:rPr>
          <w:rFonts w:ascii="Times New Roman" w:hAnsi="Times New Roman" w:cs="Times New Roman"/>
          <w:sz w:val="28"/>
          <w:szCs w:val="28"/>
        </w:rPr>
      </w:pPr>
      <w:r>
        <w:rPr>
          <w:rFonts w:ascii="Times New Roman" w:hAnsi="Times New Roman" w:cs="Times New Roman"/>
          <w:sz w:val="28"/>
          <w:szCs w:val="28"/>
        </w:rPr>
        <w:t>请各学科根据《中国海洋大学学术学位研究生培养工作规定（试行）》（海大研字〔2021〕7号）对照培养方案规定的培养环节参照本模板制定科学可行的考核实施细则。</w:t>
      </w:r>
    </w:p>
    <w:p w14:paraId="18C22E92">
      <w:pPr>
        <w:ind w:firstLine="560" w:firstLineChars="200"/>
        <w:rPr>
          <w:rFonts w:ascii="Times New Roman" w:hAnsi="Times New Roman" w:cs="Times New Roman"/>
          <w:sz w:val="28"/>
          <w:szCs w:val="28"/>
        </w:rPr>
      </w:pPr>
    </w:p>
    <w:p w14:paraId="6C8164F6">
      <w:pPr>
        <w:ind w:firstLine="1400" w:firstLineChars="500"/>
        <w:rPr>
          <w:rFonts w:ascii="Times New Roman" w:hAnsi="Times New Roman" w:cs="Times New Roman"/>
          <w:sz w:val="28"/>
          <w:szCs w:val="28"/>
        </w:rPr>
      </w:pPr>
    </w:p>
    <w:p w14:paraId="3B0B2DF9">
      <w:pPr>
        <w:ind w:firstLine="1400" w:firstLineChars="500"/>
        <w:rPr>
          <w:rFonts w:ascii="Times New Roman" w:hAnsi="Times New Roman" w:cs="Times New Roman"/>
          <w:sz w:val="28"/>
          <w:szCs w:val="28"/>
        </w:rPr>
      </w:pPr>
    </w:p>
    <w:p w14:paraId="36EF85FF">
      <w:pPr>
        <w:ind w:firstLine="1400" w:firstLineChars="500"/>
        <w:rPr>
          <w:rFonts w:ascii="Times New Roman" w:hAnsi="Times New Roman" w:cs="Times New Roman"/>
          <w:sz w:val="28"/>
          <w:szCs w:val="28"/>
        </w:rPr>
      </w:pPr>
    </w:p>
    <w:p w14:paraId="1DF447A1">
      <w:pPr>
        <w:ind w:firstLine="1400" w:firstLineChars="500"/>
        <w:rPr>
          <w:rFonts w:ascii="Times New Roman" w:hAnsi="Times New Roman" w:cs="Times New Roman"/>
          <w:sz w:val="28"/>
          <w:szCs w:val="28"/>
        </w:rPr>
      </w:pPr>
    </w:p>
    <w:p w14:paraId="3F6CA39C">
      <w:pPr>
        <w:ind w:firstLine="1400" w:firstLineChars="500"/>
        <w:rPr>
          <w:rFonts w:ascii="Times New Roman" w:hAnsi="Times New Roman" w:cs="Times New Roman"/>
          <w:sz w:val="28"/>
          <w:szCs w:val="28"/>
        </w:rPr>
      </w:pPr>
    </w:p>
    <w:p w14:paraId="45CD7362">
      <w:pPr>
        <w:ind w:firstLine="1400" w:firstLineChars="500"/>
        <w:rPr>
          <w:rFonts w:ascii="Times New Roman" w:hAnsi="Times New Roman" w:cs="Times New Roman"/>
          <w:sz w:val="28"/>
          <w:szCs w:val="28"/>
        </w:rPr>
      </w:pPr>
    </w:p>
    <w:p w14:paraId="75D05D07">
      <w:pPr>
        <w:ind w:firstLine="1400" w:firstLineChars="500"/>
        <w:rPr>
          <w:rFonts w:ascii="Times New Roman" w:hAnsi="Times New Roman" w:cs="Times New Roman"/>
          <w:sz w:val="28"/>
          <w:szCs w:val="28"/>
        </w:rPr>
      </w:pPr>
    </w:p>
    <w:p w14:paraId="558DBAFF">
      <w:pPr>
        <w:ind w:firstLine="1400" w:firstLineChars="500"/>
        <w:rPr>
          <w:rFonts w:ascii="Times New Roman" w:hAnsi="Times New Roman" w:cs="Times New Roman"/>
          <w:sz w:val="28"/>
          <w:szCs w:val="28"/>
        </w:rPr>
      </w:pPr>
    </w:p>
    <w:p w14:paraId="394BA061">
      <w:pPr>
        <w:ind w:firstLine="1400" w:firstLineChars="500"/>
        <w:rPr>
          <w:rFonts w:ascii="Times New Roman" w:hAnsi="Times New Roman" w:cs="Times New Roman"/>
          <w:sz w:val="28"/>
          <w:szCs w:val="28"/>
        </w:rPr>
      </w:pPr>
    </w:p>
    <w:p w14:paraId="2554779D">
      <w:pPr>
        <w:ind w:firstLine="1400" w:firstLineChars="500"/>
        <w:rPr>
          <w:rFonts w:ascii="Times New Roman" w:hAnsi="Times New Roman" w:cs="Times New Roman"/>
          <w:sz w:val="28"/>
          <w:szCs w:val="28"/>
        </w:rPr>
      </w:pPr>
    </w:p>
    <w:p w14:paraId="347D9BBA">
      <w:pPr>
        <w:ind w:firstLine="1400" w:firstLineChars="500"/>
        <w:rPr>
          <w:rFonts w:ascii="Times New Roman" w:hAnsi="Times New Roman" w:cs="Times New Roman"/>
          <w:sz w:val="28"/>
          <w:szCs w:val="28"/>
        </w:rPr>
      </w:pPr>
    </w:p>
    <w:p w14:paraId="51CBF24E">
      <w:pPr>
        <w:ind w:firstLine="1400" w:firstLineChars="500"/>
        <w:rPr>
          <w:rFonts w:ascii="Times New Roman" w:hAnsi="Times New Roman" w:cs="Times New Roman"/>
          <w:sz w:val="28"/>
          <w:szCs w:val="28"/>
        </w:rPr>
      </w:pPr>
    </w:p>
    <w:p w14:paraId="181B7BF8">
      <w:pPr>
        <w:ind w:firstLine="1400" w:firstLineChars="500"/>
        <w:rPr>
          <w:rFonts w:ascii="Times New Roman" w:hAnsi="Times New Roman" w:cs="Times New Roman"/>
          <w:sz w:val="28"/>
          <w:szCs w:val="28"/>
        </w:rPr>
      </w:pPr>
    </w:p>
    <w:p w14:paraId="716FA691">
      <w:pPr>
        <w:ind w:firstLine="1400" w:firstLineChars="500"/>
        <w:rPr>
          <w:rFonts w:ascii="Times New Roman" w:hAnsi="Times New Roman" w:cs="Times New Roman"/>
          <w:sz w:val="28"/>
          <w:szCs w:val="28"/>
        </w:rPr>
      </w:pPr>
    </w:p>
    <w:p w14:paraId="635601D5">
      <w:pPr>
        <w:ind w:firstLine="1400" w:firstLineChars="500"/>
        <w:rPr>
          <w:rFonts w:ascii="Times New Roman" w:hAnsi="Times New Roman" w:cs="Times New Roman"/>
          <w:sz w:val="28"/>
          <w:szCs w:val="28"/>
        </w:rPr>
      </w:pPr>
    </w:p>
    <w:p w14:paraId="75913DA4">
      <w:pPr>
        <w:ind w:firstLine="1400" w:firstLineChars="500"/>
        <w:rPr>
          <w:rFonts w:ascii="Times New Roman" w:hAnsi="Times New Roman" w:cs="Times New Roman"/>
          <w:sz w:val="28"/>
          <w:szCs w:val="28"/>
        </w:rPr>
      </w:pPr>
    </w:p>
    <w:p w14:paraId="5FF6A0AE">
      <w:pPr>
        <w:ind w:firstLine="1400" w:firstLineChars="500"/>
        <w:rPr>
          <w:rFonts w:ascii="Times New Roman" w:hAnsi="Times New Roman" w:cs="Times New Roman"/>
          <w:sz w:val="28"/>
          <w:szCs w:val="28"/>
        </w:rPr>
      </w:pPr>
    </w:p>
    <w:p w14:paraId="137F26D4">
      <w:pPr>
        <w:ind w:firstLine="1400" w:firstLineChars="500"/>
        <w:rPr>
          <w:rFonts w:ascii="Times New Roman" w:hAnsi="Times New Roman" w:cs="Times New Roman"/>
          <w:sz w:val="28"/>
          <w:szCs w:val="28"/>
        </w:rPr>
      </w:pPr>
    </w:p>
    <w:p w14:paraId="100150E9">
      <w:pPr>
        <w:jc w:val="center"/>
        <w:rPr>
          <w:rFonts w:ascii="Times New Roman" w:hAnsi="Times New Roman" w:eastAsia="黑体" w:cs="Times New Roman"/>
          <w:b/>
          <w:bCs/>
          <w:sz w:val="48"/>
          <w:szCs w:val="56"/>
        </w:rPr>
      </w:pPr>
      <w:r>
        <w:rPr>
          <w:rFonts w:ascii="Times New Roman" w:hAnsi="Times New Roman" w:eastAsia="黑体" w:cs="Times New Roman"/>
          <w:b/>
          <w:bCs/>
          <w:sz w:val="48"/>
          <w:szCs w:val="56"/>
        </w:rPr>
        <w:t>实践模块和培养环节目录</w:t>
      </w:r>
    </w:p>
    <w:p w14:paraId="1D89AF79">
      <w:pPr>
        <w:rPr>
          <w:rFonts w:ascii="Times New Roman" w:hAnsi="Times New Roman" w:cs="Times New Roman"/>
          <w:sz w:val="48"/>
          <w:szCs w:val="56"/>
        </w:rPr>
      </w:pPr>
    </w:p>
    <w:tbl>
      <w:tblPr>
        <w:tblStyle w:val="8"/>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984"/>
        <w:gridCol w:w="2268"/>
        <w:gridCol w:w="1872"/>
      </w:tblGrid>
      <w:tr w14:paraId="55791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418" w:type="dxa"/>
            <w:vMerge w:val="restart"/>
            <w:vAlign w:val="center"/>
          </w:tcPr>
          <w:p w14:paraId="461D6A9B">
            <w:pPr>
              <w:rPr>
                <w:rFonts w:ascii="Times New Roman" w:hAnsi="Times New Roman" w:eastAsia="黑体" w:cs="Times New Roman"/>
                <w:b/>
                <w:bCs/>
                <w:sz w:val="28"/>
                <w:szCs w:val="28"/>
              </w:rPr>
            </w:pPr>
            <w:r>
              <w:rPr>
                <w:rFonts w:ascii="Times New Roman" w:hAnsi="Times New Roman" w:eastAsia="黑体" w:cs="Times New Roman"/>
                <w:b/>
                <w:bCs/>
                <w:sz w:val="28"/>
                <w:szCs w:val="28"/>
                <w:lang w:bidi="ar"/>
              </w:rPr>
              <w:t>序号</w:t>
            </w:r>
          </w:p>
        </w:tc>
        <w:tc>
          <w:tcPr>
            <w:tcW w:w="4252" w:type="dxa"/>
            <w:gridSpan w:val="2"/>
            <w:vAlign w:val="center"/>
          </w:tcPr>
          <w:p w14:paraId="718F983E">
            <w:pPr>
              <w:rPr>
                <w:rFonts w:ascii="Times New Roman" w:hAnsi="Times New Roman" w:eastAsia="黑体" w:cs="Times New Roman"/>
                <w:b/>
                <w:bCs/>
                <w:sz w:val="28"/>
                <w:szCs w:val="28"/>
                <w:lang w:bidi="ar"/>
              </w:rPr>
            </w:pPr>
            <w:r>
              <w:rPr>
                <w:rFonts w:ascii="Times New Roman" w:hAnsi="Times New Roman" w:eastAsia="黑体" w:cs="Times New Roman"/>
                <w:b/>
                <w:bCs/>
                <w:sz w:val="28"/>
                <w:szCs w:val="28"/>
                <w:lang w:bidi="ar"/>
              </w:rPr>
              <w:t>实践模块和培养环节</w:t>
            </w:r>
          </w:p>
        </w:tc>
        <w:tc>
          <w:tcPr>
            <w:tcW w:w="1872" w:type="dxa"/>
            <w:vMerge w:val="restart"/>
            <w:shd w:val="clear" w:color="auto" w:fill="FFFFFF" w:themeFill="background1"/>
            <w:vAlign w:val="center"/>
          </w:tcPr>
          <w:p w14:paraId="2CD07DDB">
            <w:pPr>
              <w:rPr>
                <w:rFonts w:ascii="Times New Roman" w:hAnsi="Times New Roman" w:eastAsia="黑体" w:cs="Times New Roman"/>
                <w:b/>
                <w:bCs/>
                <w:sz w:val="28"/>
                <w:szCs w:val="28"/>
              </w:rPr>
            </w:pPr>
            <w:r>
              <w:rPr>
                <w:rFonts w:ascii="Times New Roman" w:hAnsi="Times New Roman" w:eastAsia="黑体" w:cs="Times New Roman"/>
                <w:b/>
                <w:bCs/>
                <w:sz w:val="28"/>
                <w:szCs w:val="28"/>
                <w:lang w:bidi="ar"/>
              </w:rPr>
              <w:t>页码</w:t>
            </w:r>
          </w:p>
        </w:tc>
      </w:tr>
      <w:tr w14:paraId="6990A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418" w:type="dxa"/>
            <w:vMerge w:val="continue"/>
            <w:vAlign w:val="center"/>
          </w:tcPr>
          <w:p w14:paraId="20F95FC3">
            <w:pPr>
              <w:rPr>
                <w:rFonts w:ascii="Times New Roman" w:hAnsi="Times New Roman" w:eastAsia="宋体" w:cs="Times New Roman"/>
                <w:sz w:val="28"/>
                <w:szCs w:val="28"/>
                <w:lang w:bidi="ar"/>
              </w:rPr>
            </w:pPr>
          </w:p>
        </w:tc>
        <w:tc>
          <w:tcPr>
            <w:tcW w:w="1984" w:type="dxa"/>
            <w:vAlign w:val="center"/>
          </w:tcPr>
          <w:p w14:paraId="19DB8FD6">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硕士</w:t>
            </w:r>
          </w:p>
        </w:tc>
        <w:tc>
          <w:tcPr>
            <w:tcW w:w="2268" w:type="dxa"/>
          </w:tcPr>
          <w:p w14:paraId="1729CFF9">
            <w:pPr>
              <w:rPr>
                <w:rFonts w:ascii="Times New Roman" w:hAnsi="Times New Roman" w:cs="Times New Roman"/>
                <w:sz w:val="28"/>
                <w:szCs w:val="28"/>
              </w:rPr>
            </w:pPr>
            <w:r>
              <w:rPr>
                <w:rFonts w:ascii="Times New Roman" w:hAnsi="Times New Roman" w:cs="Times New Roman"/>
                <w:sz w:val="28"/>
                <w:szCs w:val="28"/>
              </w:rPr>
              <w:t>博士</w:t>
            </w:r>
          </w:p>
        </w:tc>
        <w:tc>
          <w:tcPr>
            <w:tcW w:w="1872" w:type="dxa"/>
            <w:vMerge w:val="continue"/>
            <w:shd w:val="clear" w:color="auto" w:fill="FFFFFF" w:themeFill="background1"/>
            <w:vAlign w:val="center"/>
          </w:tcPr>
          <w:p w14:paraId="3A1C4505">
            <w:pPr>
              <w:ind w:firstLine="1400" w:firstLineChars="500"/>
              <w:rPr>
                <w:rFonts w:ascii="Times New Roman" w:hAnsi="Times New Roman" w:cs="Times New Roman"/>
                <w:sz w:val="28"/>
                <w:szCs w:val="28"/>
              </w:rPr>
            </w:pPr>
          </w:p>
        </w:tc>
      </w:tr>
      <w:tr w14:paraId="125D7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6D90E4F8">
            <w:pPr>
              <w:rPr>
                <w:rFonts w:ascii="Times New Roman" w:hAnsi="Times New Roman" w:cs="Times New Roman"/>
                <w:sz w:val="28"/>
                <w:szCs w:val="28"/>
              </w:rPr>
            </w:pPr>
            <w:r>
              <w:rPr>
                <w:rFonts w:ascii="Times New Roman" w:hAnsi="Times New Roman" w:eastAsia="宋体" w:cs="Times New Roman"/>
                <w:sz w:val="28"/>
                <w:szCs w:val="28"/>
                <w:lang w:bidi="ar"/>
              </w:rPr>
              <w:t>一</w:t>
            </w:r>
          </w:p>
        </w:tc>
        <w:tc>
          <w:tcPr>
            <w:tcW w:w="4252" w:type="dxa"/>
            <w:gridSpan w:val="2"/>
            <w:vAlign w:val="center"/>
          </w:tcPr>
          <w:p w14:paraId="6AACEC63">
            <w:pPr>
              <w:rPr>
                <w:rFonts w:ascii="Times New Roman" w:hAnsi="Times New Roman" w:cs="Times New Roman"/>
                <w:sz w:val="28"/>
                <w:szCs w:val="28"/>
              </w:rPr>
            </w:pPr>
            <w:r>
              <w:rPr>
                <w:rFonts w:ascii="Times New Roman" w:hAnsi="Times New Roman" w:eastAsia="宋体" w:cs="Times New Roman"/>
                <w:sz w:val="28"/>
                <w:szCs w:val="28"/>
                <w:lang w:bidi="ar"/>
              </w:rPr>
              <w:t>实践训练</w:t>
            </w:r>
          </w:p>
        </w:tc>
        <w:tc>
          <w:tcPr>
            <w:tcW w:w="1872" w:type="dxa"/>
            <w:shd w:val="clear" w:color="auto" w:fill="FFFFFF" w:themeFill="background1"/>
            <w:vAlign w:val="center"/>
          </w:tcPr>
          <w:p w14:paraId="06F57A32">
            <w:pPr>
              <w:rPr>
                <w:rFonts w:ascii="Times New Roman" w:hAnsi="Times New Roman" w:cs="Times New Roman"/>
                <w:sz w:val="28"/>
                <w:szCs w:val="28"/>
              </w:rPr>
            </w:pPr>
            <w:r>
              <w:rPr>
                <w:rFonts w:ascii="Times New Roman" w:hAnsi="Times New Roman" w:cs="Times New Roman"/>
                <w:sz w:val="28"/>
                <w:szCs w:val="28"/>
              </w:rPr>
              <w:t>1</w:t>
            </w:r>
          </w:p>
        </w:tc>
      </w:tr>
      <w:tr w14:paraId="6A723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269EB2A0">
            <w:pPr>
              <w:rPr>
                <w:rFonts w:ascii="Times New Roman" w:hAnsi="Times New Roman" w:cs="Times New Roman"/>
                <w:sz w:val="28"/>
                <w:szCs w:val="28"/>
              </w:rPr>
            </w:pPr>
            <w:r>
              <w:rPr>
                <w:rFonts w:ascii="Times New Roman" w:hAnsi="Times New Roman" w:eastAsia="宋体" w:cs="Times New Roman"/>
                <w:sz w:val="28"/>
                <w:szCs w:val="28"/>
                <w:lang w:bidi="ar"/>
              </w:rPr>
              <w:t>二</w:t>
            </w:r>
          </w:p>
        </w:tc>
        <w:tc>
          <w:tcPr>
            <w:tcW w:w="4252" w:type="dxa"/>
            <w:gridSpan w:val="2"/>
            <w:vAlign w:val="center"/>
          </w:tcPr>
          <w:p w14:paraId="31376D8E">
            <w:pPr>
              <w:rPr>
                <w:rFonts w:ascii="Times New Roman" w:hAnsi="Times New Roman" w:cs="Times New Roman"/>
                <w:sz w:val="28"/>
                <w:szCs w:val="28"/>
              </w:rPr>
            </w:pPr>
            <w:r>
              <w:rPr>
                <w:rFonts w:ascii="Times New Roman" w:hAnsi="Times New Roman" w:eastAsia="宋体" w:cs="Times New Roman"/>
                <w:sz w:val="28"/>
                <w:szCs w:val="28"/>
                <w:lang w:bidi="ar"/>
              </w:rPr>
              <w:t>学术活动</w:t>
            </w:r>
          </w:p>
        </w:tc>
        <w:tc>
          <w:tcPr>
            <w:tcW w:w="1872" w:type="dxa"/>
            <w:shd w:val="clear" w:color="auto" w:fill="FFFFFF" w:themeFill="background1"/>
            <w:vAlign w:val="center"/>
          </w:tcPr>
          <w:p w14:paraId="3672BABA">
            <w:pPr>
              <w:rPr>
                <w:rFonts w:ascii="Times New Roman" w:hAnsi="Times New Roman" w:cs="Times New Roman"/>
                <w:sz w:val="28"/>
                <w:szCs w:val="28"/>
              </w:rPr>
            </w:pPr>
            <w:r>
              <w:rPr>
                <w:rFonts w:ascii="Times New Roman" w:hAnsi="Times New Roman" w:cs="Times New Roman"/>
                <w:sz w:val="28"/>
                <w:szCs w:val="28"/>
              </w:rPr>
              <w:t>1</w:t>
            </w:r>
          </w:p>
        </w:tc>
      </w:tr>
      <w:tr w14:paraId="5773C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3AF80D05">
            <w:pPr>
              <w:rPr>
                <w:rFonts w:ascii="Times New Roman" w:hAnsi="Times New Roman" w:cs="Times New Roman"/>
                <w:sz w:val="28"/>
                <w:szCs w:val="28"/>
              </w:rPr>
            </w:pPr>
            <w:r>
              <w:rPr>
                <w:rFonts w:ascii="Times New Roman" w:hAnsi="Times New Roman" w:eastAsia="宋体" w:cs="Times New Roman"/>
                <w:sz w:val="28"/>
                <w:szCs w:val="28"/>
                <w:lang w:bidi="ar"/>
              </w:rPr>
              <w:t>三</w:t>
            </w:r>
          </w:p>
        </w:tc>
        <w:tc>
          <w:tcPr>
            <w:tcW w:w="1984" w:type="dxa"/>
            <w:tcBorders>
              <w:tl2br w:val="single" w:color="auto" w:sz="4" w:space="0"/>
            </w:tcBorders>
            <w:vAlign w:val="center"/>
          </w:tcPr>
          <w:p w14:paraId="5918488A">
            <w:pPr>
              <w:rPr>
                <w:rFonts w:ascii="Times New Roman" w:hAnsi="Times New Roman" w:cs="Times New Roman"/>
                <w:sz w:val="28"/>
                <w:szCs w:val="28"/>
              </w:rPr>
            </w:pPr>
          </w:p>
        </w:tc>
        <w:tc>
          <w:tcPr>
            <w:tcW w:w="2268" w:type="dxa"/>
          </w:tcPr>
          <w:p w14:paraId="13A3BA2A">
            <w:pPr>
              <w:rPr>
                <w:rFonts w:ascii="Times New Roman" w:hAnsi="Times New Roman" w:cs="Times New Roman"/>
                <w:sz w:val="28"/>
                <w:szCs w:val="28"/>
              </w:rPr>
            </w:pPr>
            <w:r>
              <w:rPr>
                <w:rFonts w:ascii="Times New Roman" w:hAnsi="Times New Roman" w:eastAsia="宋体" w:cs="Times New Roman"/>
                <w:sz w:val="28"/>
                <w:szCs w:val="28"/>
                <w:lang w:bidi="ar"/>
              </w:rPr>
              <w:t>学科综合考试</w:t>
            </w:r>
          </w:p>
        </w:tc>
        <w:tc>
          <w:tcPr>
            <w:tcW w:w="1872" w:type="dxa"/>
            <w:shd w:val="clear" w:color="auto" w:fill="FFFFFF" w:themeFill="background1"/>
            <w:vAlign w:val="center"/>
          </w:tcPr>
          <w:p w14:paraId="0B29A38B">
            <w:pPr>
              <w:rPr>
                <w:rFonts w:ascii="Times New Roman" w:hAnsi="Times New Roman" w:cs="Times New Roman"/>
                <w:sz w:val="28"/>
                <w:szCs w:val="28"/>
              </w:rPr>
            </w:pPr>
            <w:r>
              <w:rPr>
                <w:rFonts w:ascii="Times New Roman" w:hAnsi="Times New Roman" w:cs="Times New Roman"/>
                <w:sz w:val="28"/>
                <w:szCs w:val="28"/>
              </w:rPr>
              <w:t>2</w:t>
            </w:r>
          </w:p>
        </w:tc>
      </w:tr>
      <w:tr w14:paraId="377F5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109FCF0B">
            <w:pPr>
              <w:rPr>
                <w:rFonts w:ascii="Times New Roman" w:hAnsi="Times New Roman" w:cs="Times New Roman"/>
                <w:sz w:val="28"/>
                <w:szCs w:val="28"/>
              </w:rPr>
            </w:pPr>
            <w:r>
              <w:rPr>
                <w:rFonts w:ascii="Times New Roman" w:hAnsi="Times New Roman" w:eastAsia="宋体" w:cs="Times New Roman"/>
                <w:sz w:val="28"/>
                <w:szCs w:val="28"/>
                <w:lang w:bidi="ar"/>
              </w:rPr>
              <w:t>四</w:t>
            </w:r>
          </w:p>
        </w:tc>
        <w:tc>
          <w:tcPr>
            <w:tcW w:w="1984" w:type="dxa"/>
            <w:tcBorders>
              <w:tl2br w:val="single" w:color="auto" w:sz="4" w:space="0"/>
            </w:tcBorders>
            <w:vAlign w:val="center"/>
          </w:tcPr>
          <w:p w14:paraId="5DD6922A">
            <w:pPr>
              <w:rPr>
                <w:rFonts w:ascii="Times New Roman" w:hAnsi="Times New Roman" w:cs="Times New Roman"/>
                <w:sz w:val="28"/>
                <w:szCs w:val="28"/>
              </w:rPr>
            </w:pPr>
          </w:p>
        </w:tc>
        <w:tc>
          <w:tcPr>
            <w:tcW w:w="2268" w:type="dxa"/>
          </w:tcPr>
          <w:p w14:paraId="0BB245CE">
            <w:pPr>
              <w:rPr>
                <w:rFonts w:ascii="Times New Roman" w:hAnsi="Times New Roman" w:cs="Times New Roman"/>
                <w:sz w:val="28"/>
                <w:szCs w:val="28"/>
              </w:rPr>
            </w:pPr>
            <w:r>
              <w:rPr>
                <w:rFonts w:ascii="Times New Roman" w:hAnsi="Times New Roman" w:eastAsia="宋体" w:cs="Times New Roman"/>
                <w:sz w:val="28"/>
                <w:szCs w:val="28"/>
                <w:lang w:bidi="ar"/>
              </w:rPr>
              <w:t>开题报告</w:t>
            </w:r>
          </w:p>
        </w:tc>
        <w:tc>
          <w:tcPr>
            <w:tcW w:w="1872" w:type="dxa"/>
            <w:shd w:val="clear" w:color="auto" w:fill="FFFFFF" w:themeFill="background1"/>
            <w:vAlign w:val="center"/>
          </w:tcPr>
          <w:p w14:paraId="512C9C91">
            <w:pPr>
              <w:rPr>
                <w:rFonts w:ascii="Times New Roman" w:hAnsi="Times New Roman" w:cs="Times New Roman"/>
                <w:sz w:val="28"/>
                <w:szCs w:val="28"/>
              </w:rPr>
            </w:pPr>
            <w:r>
              <w:rPr>
                <w:rFonts w:ascii="Times New Roman" w:hAnsi="Times New Roman" w:cs="Times New Roman"/>
                <w:sz w:val="28"/>
                <w:szCs w:val="28"/>
              </w:rPr>
              <w:t>3</w:t>
            </w:r>
          </w:p>
        </w:tc>
      </w:tr>
      <w:tr w14:paraId="31274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2A619C87">
            <w:pPr>
              <w:rPr>
                <w:rFonts w:ascii="Times New Roman" w:hAnsi="Times New Roman" w:cs="Times New Roman"/>
                <w:sz w:val="28"/>
                <w:szCs w:val="28"/>
              </w:rPr>
            </w:pPr>
            <w:r>
              <w:rPr>
                <w:rFonts w:ascii="Times New Roman" w:hAnsi="Times New Roman" w:eastAsia="宋体" w:cs="Times New Roman"/>
                <w:sz w:val="28"/>
                <w:szCs w:val="28"/>
                <w:lang w:bidi="ar"/>
              </w:rPr>
              <w:t>五</w:t>
            </w:r>
          </w:p>
        </w:tc>
        <w:tc>
          <w:tcPr>
            <w:tcW w:w="1984" w:type="dxa"/>
            <w:vAlign w:val="center"/>
          </w:tcPr>
          <w:p w14:paraId="7DBEB9E9">
            <w:pPr>
              <w:rPr>
                <w:rFonts w:ascii="Times New Roman" w:hAnsi="Times New Roman" w:cs="Times New Roman"/>
                <w:sz w:val="28"/>
                <w:szCs w:val="28"/>
              </w:rPr>
            </w:pPr>
            <w:r>
              <w:rPr>
                <w:rFonts w:ascii="Times New Roman" w:hAnsi="Times New Roman" w:eastAsia="宋体" w:cs="Times New Roman"/>
                <w:sz w:val="28"/>
                <w:szCs w:val="28"/>
                <w:lang w:bidi="ar"/>
              </w:rPr>
              <w:t>开题审核</w:t>
            </w:r>
          </w:p>
        </w:tc>
        <w:tc>
          <w:tcPr>
            <w:tcW w:w="2268" w:type="dxa"/>
            <w:tcBorders>
              <w:tl2br w:val="single" w:color="auto" w:sz="4" w:space="0"/>
            </w:tcBorders>
          </w:tcPr>
          <w:p w14:paraId="18EF1BCE">
            <w:pPr>
              <w:rPr>
                <w:rFonts w:ascii="Times New Roman" w:hAnsi="Times New Roman" w:cs="Times New Roman"/>
                <w:sz w:val="28"/>
                <w:szCs w:val="28"/>
              </w:rPr>
            </w:pPr>
          </w:p>
        </w:tc>
        <w:tc>
          <w:tcPr>
            <w:tcW w:w="1872" w:type="dxa"/>
            <w:shd w:val="clear" w:color="auto" w:fill="FFFFFF" w:themeFill="background1"/>
            <w:vAlign w:val="center"/>
          </w:tcPr>
          <w:p w14:paraId="280A6090">
            <w:pPr>
              <w:rPr>
                <w:rFonts w:ascii="Times New Roman" w:hAnsi="Times New Roman" w:cs="Times New Roman"/>
                <w:sz w:val="28"/>
                <w:szCs w:val="28"/>
              </w:rPr>
            </w:pPr>
            <w:r>
              <w:rPr>
                <w:rFonts w:ascii="Times New Roman" w:hAnsi="Times New Roman" w:cs="Times New Roman"/>
                <w:sz w:val="28"/>
                <w:szCs w:val="28"/>
              </w:rPr>
              <w:t>5</w:t>
            </w:r>
          </w:p>
        </w:tc>
      </w:tr>
      <w:tr w14:paraId="2ED02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4BC2E1C8">
            <w:pPr>
              <w:rPr>
                <w:rFonts w:ascii="Times New Roman" w:hAnsi="Times New Roman" w:cs="Times New Roman"/>
                <w:sz w:val="28"/>
                <w:szCs w:val="28"/>
              </w:rPr>
            </w:pPr>
            <w:r>
              <w:rPr>
                <w:rFonts w:ascii="Times New Roman" w:hAnsi="Times New Roman" w:eastAsia="宋体" w:cs="Times New Roman"/>
                <w:sz w:val="28"/>
                <w:szCs w:val="28"/>
                <w:lang w:bidi="ar"/>
              </w:rPr>
              <w:t>六</w:t>
            </w:r>
          </w:p>
        </w:tc>
        <w:tc>
          <w:tcPr>
            <w:tcW w:w="4252" w:type="dxa"/>
            <w:gridSpan w:val="2"/>
            <w:vAlign w:val="center"/>
          </w:tcPr>
          <w:p w14:paraId="0E5C8023">
            <w:pPr>
              <w:rPr>
                <w:rFonts w:ascii="Times New Roman" w:hAnsi="Times New Roman" w:cs="Times New Roman"/>
                <w:sz w:val="28"/>
                <w:szCs w:val="28"/>
              </w:rPr>
            </w:pPr>
            <w:r>
              <w:rPr>
                <w:rFonts w:ascii="Times New Roman" w:hAnsi="Times New Roman" w:eastAsia="宋体" w:cs="Times New Roman"/>
                <w:sz w:val="28"/>
                <w:szCs w:val="28"/>
                <w:lang w:bidi="ar"/>
              </w:rPr>
              <w:t>论文研究进展报告</w:t>
            </w:r>
          </w:p>
        </w:tc>
        <w:tc>
          <w:tcPr>
            <w:tcW w:w="1872" w:type="dxa"/>
            <w:shd w:val="clear" w:color="auto" w:fill="FFFFFF" w:themeFill="background1"/>
            <w:vAlign w:val="center"/>
          </w:tcPr>
          <w:p w14:paraId="0DAC8753">
            <w:pPr>
              <w:rPr>
                <w:rFonts w:ascii="Times New Roman" w:hAnsi="Times New Roman" w:cs="Times New Roman"/>
                <w:sz w:val="28"/>
                <w:szCs w:val="28"/>
              </w:rPr>
            </w:pPr>
            <w:r>
              <w:rPr>
                <w:rFonts w:ascii="Times New Roman" w:hAnsi="Times New Roman" w:cs="Times New Roman"/>
                <w:sz w:val="28"/>
                <w:szCs w:val="28"/>
              </w:rPr>
              <w:t>7</w:t>
            </w:r>
          </w:p>
        </w:tc>
      </w:tr>
      <w:tr w14:paraId="12C2A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03A80784">
            <w:pPr>
              <w:rPr>
                <w:rFonts w:ascii="Times New Roman" w:hAnsi="Times New Roman" w:cs="Times New Roman"/>
                <w:sz w:val="28"/>
                <w:szCs w:val="28"/>
              </w:rPr>
            </w:pPr>
            <w:r>
              <w:rPr>
                <w:rFonts w:ascii="Times New Roman" w:hAnsi="Times New Roman" w:eastAsia="宋体" w:cs="Times New Roman"/>
                <w:sz w:val="28"/>
                <w:szCs w:val="28"/>
                <w:lang w:bidi="ar"/>
              </w:rPr>
              <w:t>七</w:t>
            </w:r>
          </w:p>
        </w:tc>
        <w:tc>
          <w:tcPr>
            <w:tcW w:w="1984" w:type="dxa"/>
            <w:tcBorders>
              <w:tl2br w:val="single" w:color="auto" w:sz="4" w:space="0"/>
            </w:tcBorders>
            <w:vAlign w:val="center"/>
          </w:tcPr>
          <w:p w14:paraId="603517BC">
            <w:pPr>
              <w:rPr>
                <w:rFonts w:ascii="Times New Roman" w:hAnsi="Times New Roman" w:cs="Times New Roman"/>
                <w:sz w:val="28"/>
                <w:szCs w:val="28"/>
              </w:rPr>
            </w:pPr>
          </w:p>
        </w:tc>
        <w:tc>
          <w:tcPr>
            <w:tcW w:w="2268" w:type="dxa"/>
          </w:tcPr>
          <w:p w14:paraId="6FDC7DC2">
            <w:pPr>
              <w:rPr>
                <w:rFonts w:ascii="Times New Roman" w:hAnsi="Times New Roman" w:cs="Times New Roman"/>
                <w:sz w:val="28"/>
                <w:szCs w:val="28"/>
              </w:rPr>
            </w:pPr>
            <w:r>
              <w:rPr>
                <w:rFonts w:ascii="Times New Roman" w:hAnsi="Times New Roman" w:eastAsia="宋体" w:cs="Times New Roman"/>
                <w:sz w:val="28"/>
                <w:szCs w:val="28"/>
                <w:lang w:bidi="ar"/>
              </w:rPr>
              <w:t>学位论文预答辩</w:t>
            </w:r>
          </w:p>
        </w:tc>
        <w:tc>
          <w:tcPr>
            <w:tcW w:w="1872" w:type="dxa"/>
            <w:shd w:val="clear" w:color="auto" w:fill="FFFFFF" w:themeFill="background1"/>
            <w:vAlign w:val="center"/>
          </w:tcPr>
          <w:p w14:paraId="78D15BFB">
            <w:pPr>
              <w:rPr>
                <w:rFonts w:ascii="Times New Roman" w:hAnsi="Times New Roman" w:cs="Times New Roman"/>
                <w:sz w:val="28"/>
                <w:szCs w:val="28"/>
              </w:rPr>
            </w:pPr>
            <w:r>
              <w:rPr>
                <w:rFonts w:ascii="Times New Roman" w:hAnsi="Times New Roman" w:cs="Times New Roman"/>
                <w:sz w:val="28"/>
                <w:szCs w:val="28"/>
              </w:rPr>
              <w:t>8</w:t>
            </w:r>
          </w:p>
        </w:tc>
      </w:tr>
      <w:tr w14:paraId="2EB6F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511726D1">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八</w:t>
            </w:r>
          </w:p>
        </w:tc>
        <w:tc>
          <w:tcPr>
            <w:tcW w:w="4252" w:type="dxa"/>
            <w:gridSpan w:val="2"/>
            <w:vAlign w:val="center"/>
          </w:tcPr>
          <w:p w14:paraId="0038F01A">
            <w:pPr>
              <w:rPr>
                <w:rFonts w:ascii="Times New Roman" w:hAnsi="Times New Roman" w:eastAsia="宋体" w:cs="Times New Roman"/>
                <w:sz w:val="28"/>
                <w:szCs w:val="28"/>
              </w:rPr>
            </w:pPr>
            <w:r>
              <w:rPr>
                <w:rFonts w:ascii="Times New Roman" w:hAnsi="Times New Roman" w:eastAsia="宋体" w:cs="Times New Roman"/>
                <w:sz w:val="28"/>
                <w:szCs w:val="28"/>
                <w:lang w:bidi="ar"/>
              </w:rPr>
              <w:t>学位论文答辩</w:t>
            </w:r>
          </w:p>
        </w:tc>
        <w:tc>
          <w:tcPr>
            <w:tcW w:w="1872" w:type="dxa"/>
            <w:shd w:val="clear" w:color="auto" w:fill="FFFFFF" w:themeFill="background1"/>
            <w:vAlign w:val="center"/>
          </w:tcPr>
          <w:p w14:paraId="235FD68F">
            <w:pPr>
              <w:rPr>
                <w:rFonts w:ascii="Times New Roman" w:hAnsi="Times New Roman" w:cs="Times New Roman"/>
                <w:sz w:val="28"/>
                <w:szCs w:val="28"/>
              </w:rPr>
            </w:pPr>
            <w:r>
              <w:rPr>
                <w:rFonts w:ascii="Times New Roman" w:hAnsi="Times New Roman" w:cs="Times New Roman"/>
                <w:sz w:val="28"/>
                <w:szCs w:val="28"/>
              </w:rPr>
              <w:t>9</w:t>
            </w:r>
          </w:p>
        </w:tc>
      </w:tr>
      <w:tr w14:paraId="62EDF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3D82E0A8">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附件1-8</w:t>
            </w:r>
          </w:p>
        </w:tc>
        <w:tc>
          <w:tcPr>
            <w:tcW w:w="4252" w:type="dxa"/>
            <w:gridSpan w:val="2"/>
            <w:vAlign w:val="center"/>
          </w:tcPr>
          <w:p w14:paraId="60F17448">
            <w:pPr>
              <w:rPr>
                <w:rFonts w:ascii="Times New Roman" w:hAnsi="Times New Roman" w:cs="Times New Roman"/>
                <w:sz w:val="28"/>
                <w:szCs w:val="28"/>
              </w:rPr>
            </w:pPr>
            <w:r>
              <w:rPr>
                <w:rFonts w:ascii="Times New Roman" w:hAnsi="Times New Roman" w:eastAsia="宋体" w:cs="Times New Roman"/>
                <w:sz w:val="28"/>
                <w:szCs w:val="28"/>
                <w:lang w:bidi="ar"/>
              </w:rPr>
              <w:t>实践模块和培养环节表格</w:t>
            </w:r>
          </w:p>
        </w:tc>
        <w:tc>
          <w:tcPr>
            <w:tcW w:w="1872" w:type="dxa"/>
            <w:shd w:val="clear" w:color="auto" w:fill="FFFFFF" w:themeFill="background1"/>
            <w:vAlign w:val="center"/>
          </w:tcPr>
          <w:p w14:paraId="2A06D389">
            <w:pPr>
              <w:rPr>
                <w:rFonts w:ascii="Times New Roman" w:hAnsi="Times New Roman" w:cs="Times New Roman"/>
                <w:sz w:val="28"/>
                <w:szCs w:val="28"/>
              </w:rPr>
            </w:pPr>
            <w:r>
              <w:rPr>
                <w:rFonts w:ascii="Times New Roman" w:hAnsi="Times New Roman" w:cs="Times New Roman"/>
                <w:sz w:val="28"/>
                <w:szCs w:val="28"/>
              </w:rPr>
              <w:t>11</w:t>
            </w:r>
          </w:p>
        </w:tc>
      </w:tr>
    </w:tbl>
    <w:p w14:paraId="5F6B8A40">
      <w:pPr>
        <w:ind w:firstLine="1400" w:firstLineChars="500"/>
        <w:rPr>
          <w:rFonts w:ascii="Times New Roman" w:hAnsi="Times New Roman" w:cs="Times New Roman"/>
          <w:sz w:val="28"/>
          <w:szCs w:val="28"/>
        </w:rPr>
      </w:pPr>
    </w:p>
    <w:p w14:paraId="3BA39ACF">
      <w:pPr>
        <w:widowControl/>
        <w:rPr>
          <w:rFonts w:ascii="Times New Roman" w:hAnsi="Times New Roman" w:cs="Times New Roman"/>
          <w:sz w:val="28"/>
          <w:szCs w:val="28"/>
        </w:rPr>
      </w:pPr>
      <w:r>
        <w:rPr>
          <w:rFonts w:ascii="Times New Roman" w:hAnsi="Times New Roman" w:cs="Times New Roman"/>
          <w:sz w:val="28"/>
          <w:szCs w:val="28"/>
        </w:rPr>
        <w:br w:type="page"/>
      </w:r>
    </w:p>
    <w:p w14:paraId="0E76BDB6">
      <w:pPr>
        <w:ind w:firstLine="1400" w:firstLineChars="500"/>
        <w:rPr>
          <w:rFonts w:ascii="Times New Roman" w:hAnsi="Times New Roman" w:cs="Times New Roman"/>
          <w:sz w:val="28"/>
          <w:szCs w:val="28"/>
        </w:rPr>
        <w:sectPr>
          <w:footerReference r:id="rId3" w:type="default"/>
          <w:pgSz w:w="11906" w:h="16838"/>
          <w:pgMar w:top="1440" w:right="1800" w:bottom="1440" w:left="1800" w:header="851" w:footer="992" w:gutter="0"/>
          <w:cols w:space="425" w:num="1"/>
          <w:docGrid w:type="lines" w:linePitch="312" w:charSpace="0"/>
        </w:sectPr>
      </w:pPr>
    </w:p>
    <w:p w14:paraId="7C589FAB">
      <w:pPr>
        <w:ind w:firstLine="560" w:firstLineChars="200"/>
        <w:rPr>
          <w:rFonts w:ascii="Times New Roman" w:hAnsi="Times New Roman" w:cs="Times New Roman"/>
          <w:sz w:val="28"/>
          <w:szCs w:val="28"/>
        </w:rPr>
      </w:pPr>
      <w:r>
        <w:rPr>
          <w:rFonts w:ascii="Times New Roman" w:hAnsi="Times New Roman" w:cs="Times New Roman"/>
          <w:sz w:val="28"/>
          <w:szCs w:val="28"/>
        </w:rPr>
        <w:t>学科依据《中国海洋大学学术学位研究生培养工作规定（试行）》（海大研字〔2021〕7号）制定本实施细则，现将具体事项规定如下：</w:t>
      </w:r>
    </w:p>
    <w:p w14:paraId="6EF257EF">
      <w:pPr>
        <w:numPr>
          <w:ilvl w:val="0"/>
          <w:numId w:val="1"/>
        </w:numPr>
        <w:rPr>
          <w:rFonts w:ascii="Times New Roman" w:hAnsi="Times New Roman" w:cs="Times New Roman"/>
          <w:b/>
          <w:bCs/>
          <w:sz w:val="28"/>
          <w:szCs w:val="28"/>
        </w:rPr>
      </w:pPr>
      <w:r>
        <w:rPr>
          <w:rFonts w:ascii="Times New Roman" w:hAnsi="Times New Roman" w:cs="Times New Roman"/>
          <w:b/>
          <w:bCs/>
          <w:sz w:val="28"/>
          <w:szCs w:val="28"/>
        </w:rPr>
        <w:t>实践训练（教学实践、科研训练、社会实践）</w:t>
      </w:r>
    </w:p>
    <w:p w14:paraId="62244C8E">
      <w:pPr>
        <w:numPr>
          <w:ilvl w:val="0"/>
          <w:numId w:val="2"/>
        </w:numPr>
        <w:rPr>
          <w:rFonts w:ascii="Times New Roman" w:hAnsi="Times New Roman" w:cs="Times New Roman"/>
          <w:sz w:val="28"/>
          <w:szCs w:val="28"/>
        </w:rPr>
      </w:pPr>
      <w:r>
        <w:rPr>
          <w:rFonts w:ascii="Times New Roman" w:hAnsi="Times New Roman" w:cs="Times New Roman"/>
          <w:sz w:val="28"/>
          <w:szCs w:val="28"/>
        </w:rPr>
        <w:t>考核内容</w:t>
      </w:r>
    </w:p>
    <w:p w14:paraId="2599D09C">
      <w:pPr>
        <w:ind w:firstLine="560" w:firstLineChars="200"/>
        <w:rPr>
          <w:rFonts w:ascii="Times New Roman" w:hAnsi="Times New Roman" w:cs="Times New Roman"/>
          <w:sz w:val="28"/>
          <w:szCs w:val="28"/>
          <w:highlight w:val="yellow"/>
        </w:rPr>
      </w:pPr>
      <w:r>
        <w:rPr>
          <w:rFonts w:ascii="Times New Roman" w:hAnsi="Times New Roman" w:cs="Times New Roman"/>
          <w:sz w:val="28"/>
          <w:szCs w:val="28"/>
        </w:rPr>
        <w:t>实践训练为教学实践、科研训练和社会实践中的至少一个方面的内容。教学实践内容可以包含：完成1门本科生或者研究生课程的教学助理工作；协助指导一名本科生毕业论文；协助指导一组SRDP项目；参与发表一篇教学论文；参与一项教学成果；参与学校科普活动等。科研训练内容可以包含：因合作研究去其他单位开展科研工作；完成论文以外的研究生自主创新项目；参与完成论文以外的研究项目；在本行业学术会议上做墙报或口头报告一次等。社会实践可以包含：到企业进行合作研究；参加行业调查等（工作时间累计不少于7天）。</w:t>
      </w:r>
    </w:p>
    <w:p w14:paraId="18E4AF2A">
      <w:pPr>
        <w:numPr>
          <w:ilvl w:val="0"/>
          <w:numId w:val="2"/>
        </w:numPr>
        <w:rPr>
          <w:rFonts w:ascii="Times New Roman" w:hAnsi="Times New Roman" w:cs="Times New Roman"/>
          <w:sz w:val="28"/>
          <w:szCs w:val="28"/>
        </w:rPr>
      </w:pPr>
      <w:r>
        <w:rPr>
          <w:rFonts w:ascii="Times New Roman" w:hAnsi="Times New Roman" w:cs="Times New Roman"/>
          <w:sz w:val="28"/>
          <w:szCs w:val="28"/>
        </w:rPr>
        <w:t>考核时间、方式</w:t>
      </w:r>
    </w:p>
    <w:p w14:paraId="1820A478">
      <w:pPr>
        <w:ind w:firstLine="560" w:firstLineChars="200"/>
        <w:rPr>
          <w:rFonts w:ascii="Times New Roman" w:hAnsi="Times New Roman" w:cs="Times New Roman"/>
          <w:bCs/>
          <w:sz w:val="28"/>
          <w:szCs w:val="28"/>
        </w:rPr>
      </w:pPr>
      <w:r>
        <w:rPr>
          <w:rFonts w:ascii="Times New Roman" w:hAnsi="Times New Roman" w:cs="Times New Roman"/>
          <w:bCs/>
          <w:sz w:val="28"/>
          <w:szCs w:val="28"/>
        </w:rPr>
        <w:t>考核时间：毕业</w:t>
      </w:r>
      <w:r>
        <w:rPr>
          <w:rFonts w:ascii="Times New Roman" w:hAnsi="Times New Roman" w:cs="Times New Roman"/>
          <w:sz w:val="28"/>
          <w:szCs w:val="28"/>
        </w:rPr>
        <w:t>资格</w:t>
      </w:r>
      <w:r>
        <w:rPr>
          <w:rFonts w:ascii="Times New Roman" w:hAnsi="Times New Roman" w:cs="Times New Roman"/>
          <w:bCs/>
          <w:sz w:val="28"/>
          <w:szCs w:val="28"/>
        </w:rPr>
        <w:t>审查前（毕业资格审核时间：硕士第五学期最后2周/博士第七学期最后2周）</w:t>
      </w:r>
    </w:p>
    <w:p w14:paraId="37524AA3">
      <w:pPr>
        <w:ind w:firstLine="560" w:firstLineChars="200"/>
        <w:rPr>
          <w:rFonts w:ascii="Times New Roman" w:hAnsi="Times New Roman" w:cs="Times New Roman"/>
          <w:bCs/>
          <w:sz w:val="28"/>
          <w:szCs w:val="28"/>
        </w:rPr>
      </w:pPr>
      <w:r>
        <w:rPr>
          <w:rFonts w:ascii="Times New Roman" w:hAnsi="Times New Roman" w:cs="Times New Roman"/>
          <w:bCs/>
          <w:sz w:val="28"/>
          <w:szCs w:val="28"/>
        </w:rPr>
        <w:t>考核方式：提交</w:t>
      </w:r>
      <w:r>
        <w:rPr>
          <w:rFonts w:ascii="Times New Roman" w:hAnsi="Times New Roman" w:cs="Times New Roman"/>
          <w:sz w:val="28"/>
          <w:szCs w:val="28"/>
        </w:rPr>
        <w:t>实践</w:t>
      </w:r>
      <w:r>
        <w:rPr>
          <w:rFonts w:ascii="Times New Roman" w:hAnsi="Times New Roman" w:cs="Times New Roman"/>
          <w:bCs/>
          <w:sz w:val="28"/>
          <w:szCs w:val="28"/>
        </w:rPr>
        <w:t>训练总结报告书，由导师考核，将成绩报给学院。考核通过者计1学分。</w:t>
      </w:r>
    </w:p>
    <w:p w14:paraId="6B062E26">
      <w:pPr>
        <w:rPr>
          <w:rFonts w:ascii="Times New Roman" w:hAnsi="Times New Roman" w:cs="Times New Roman"/>
          <w:b/>
          <w:bCs/>
          <w:sz w:val="28"/>
          <w:szCs w:val="28"/>
        </w:rPr>
      </w:pPr>
      <w:r>
        <w:rPr>
          <w:rFonts w:ascii="Times New Roman" w:hAnsi="Times New Roman" w:eastAsia="宋体" w:cs="Times New Roman"/>
          <w:b/>
          <w:bCs/>
          <w:sz w:val="28"/>
          <w:szCs w:val="28"/>
          <w:lang w:bidi="ar"/>
        </w:rPr>
        <w:t>二、学术活动</w:t>
      </w:r>
    </w:p>
    <w:p w14:paraId="672546F6">
      <w:pPr>
        <w:numPr>
          <w:ilvl w:val="0"/>
          <w:numId w:val="3"/>
        </w:numPr>
        <w:rPr>
          <w:rFonts w:ascii="Times New Roman" w:hAnsi="Times New Roman" w:cs="Times New Roman"/>
          <w:sz w:val="28"/>
          <w:szCs w:val="28"/>
        </w:rPr>
      </w:pPr>
      <w:r>
        <w:rPr>
          <w:rFonts w:ascii="Times New Roman" w:hAnsi="Times New Roman" w:cs="Times New Roman"/>
          <w:sz w:val="28"/>
          <w:szCs w:val="28"/>
        </w:rPr>
        <w:t>考核内容</w:t>
      </w:r>
    </w:p>
    <w:p w14:paraId="1C203F95">
      <w:pPr>
        <w:ind w:firstLine="560" w:firstLineChars="200"/>
        <w:rPr>
          <w:rFonts w:ascii="Times New Roman" w:hAnsi="Times New Roman" w:cs="Times New Roman"/>
          <w:sz w:val="28"/>
          <w:szCs w:val="28"/>
        </w:rPr>
      </w:pPr>
      <w:r>
        <w:rPr>
          <w:rFonts w:ascii="Times New Roman" w:hAnsi="Times New Roman" w:cs="Times New Roman"/>
          <w:sz w:val="28"/>
          <w:szCs w:val="28"/>
        </w:rPr>
        <w:t>研究生在读期间至少参加15（博士）/10（硕士）/20（硕博连读）场次学术讲座，满足上述基本内容不给予学分。对于参加国际学术会议并做会议报告者，给予1学分；硕博连读</w:t>
      </w:r>
      <w:r>
        <w:rPr>
          <w:rFonts w:hint="eastAsia" w:ascii="Times New Roman" w:hAnsi="Times New Roman" w:cs="Times New Roman"/>
          <w:sz w:val="28"/>
          <w:szCs w:val="28"/>
        </w:rPr>
        <w:t>以及本直博</w:t>
      </w:r>
      <w:r>
        <w:rPr>
          <w:rFonts w:ascii="Times New Roman" w:hAnsi="Times New Roman" w:cs="Times New Roman"/>
          <w:sz w:val="28"/>
          <w:szCs w:val="28"/>
        </w:rPr>
        <w:t>学生必须参加国际或国内100人以上规模学术会议，并做会议报告或墙报展示。</w:t>
      </w:r>
    </w:p>
    <w:p w14:paraId="1C340668">
      <w:pPr>
        <w:rPr>
          <w:rFonts w:ascii="Times New Roman" w:hAnsi="Times New Roman" w:cs="Times New Roman"/>
          <w:sz w:val="28"/>
          <w:szCs w:val="28"/>
        </w:rPr>
      </w:pPr>
      <w:r>
        <w:rPr>
          <w:rFonts w:ascii="Times New Roman" w:hAnsi="Times New Roman" w:cs="Times New Roman"/>
          <w:sz w:val="28"/>
          <w:szCs w:val="28"/>
        </w:rPr>
        <w:t>（二）考核时间、方式</w:t>
      </w:r>
    </w:p>
    <w:p w14:paraId="12E67E01">
      <w:pPr>
        <w:ind w:firstLine="560" w:firstLineChars="200"/>
        <w:rPr>
          <w:rFonts w:ascii="Times New Roman" w:hAnsi="Times New Roman" w:cs="Times New Roman"/>
          <w:sz w:val="28"/>
          <w:szCs w:val="28"/>
        </w:rPr>
      </w:pPr>
      <w:r>
        <w:rPr>
          <w:rFonts w:ascii="Times New Roman" w:hAnsi="Times New Roman" w:cs="Times New Roman"/>
          <w:sz w:val="28"/>
          <w:szCs w:val="28"/>
        </w:rPr>
        <w:t>考核时间：毕业资格审查前（毕业资格审核时间：硕士第五学期最后2周/博士第七学期最后2周</w:t>
      </w:r>
      <w:r>
        <w:rPr>
          <w:rFonts w:hint="eastAsia" w:ascii="Times New Roman" w:hAnsi="Times New Roman" w:cs="Times New Roman"/>
          <w:sz w:val="28"/>
          <w:szCs w:val="28"/>
        </w:rPr>
        <w:t>，本直博第九学期最后两周</w:t>
      </w:r>
      <w:r>
        <w:rPr>
          <w:rFonts w:ascii="Times New Roman" w:hAnsi="Times New Roman" w:cs="Times New Roman"/>
          <w:sz w:val="28"/>
          <w:szCs w:val="28"/>
        </w:rPr>
        <w:t>）</w:t>
      </w:r>
    </w:p>
    <w:p w14:paraId="2F7CA503">
      <w:pPr>
        <w:rPr>
          <w:rFonts w:ascii="Times New Roman" w:hAnsi="Times New Roman" w:cs="Times New Roman"/>
          <w:sz w:val="28"/>
          <w:szCs w:val="28"/>
        </w:rPr>
      </w:pPr>
      <w:r>
        <w:rPr>
          <w:rFonts w:ascii="Times New Roman" w:hAnsi="Times New Roman" w:cs="Times New Roman"/>
          <w:sz w:val="28"/>
          <w:szCs w:val="28"/>
        </w:rPr>
        <w:t>考核方式：由学生提交经过导师签字的相关证明材料及图片。</w:t>
      </w:r>
    </w:p>
    <w:p w14:paraId="5BD323DA">
      <w:pPr>
        <w:pStyle w:val="14"/>
        <w:numPr>
          <w:ilvl w:val="0"/>
          <w:numId w:val="4"/>
        </w:numPr>
        <w:ind w:firstLineChars="0"/>
        <w:rPr>
          <w:rFonts w:ascii="Times New Roman" w:hAnsi="Times New Roman" w:eastAsia="宋体" w:cs="Times New Roman"/>
          <w:b/>
          <w:bCs/>
          <w:sz w:val="28"/>
          <w:szCs w:val="28"/>
          <w:lang w:bidi="ar"/>
        </w:rPr>
      </w:pPr>
      <w:r>
        <w:rPr>
          <w:rFonts w:ascii="Times New Roman" w:hAnsi="Times New Roman" w:eastAsia="宋体" w:cs="Times New Roman"/>
          <w:b/>
          <w:bCs/>
          <w:sz w:val="28"/>
          <w:szCs w:val="28"/>
          <w:lang w:bidi="ar"/>
        </w:rPr>
        <w:t>学科综合考试（博士生）</w:t>
      </w:r>
    </w:p>
    <w:p w14:paraId="4E135223">
      <w:pPr>
        <w:numPr>
          <w:ilvl w:val="0"/>
          <w:numId w:val="5"/>
        </w:numPr>
        <w:rPr>
          <w:rFonts w:ascii="Times New Roman" w:hAnsi="Times New Roman" w:cs="Times New Roman"/>
          <w:sz w:val="28"/>
          <w:szCs w:val="28"/>
        </w:rPr>
      </w:pPr>
      <w:r>
        <w:rPr>
          <w:rFonts w:ascii="Times New Roman" w:hAnsi="Times New Roman" w:cs="Times New Roman"/>
          <w:sz w:val="28"/>
          <w:szCs w:val="28"/>
        </w:rPr>
        <w:t>考核内容</w:t>
      </w:r>
    </w:p>
    <w:p w14:paraId="5642F0CA">
      <w:pPr>
        <w:ind w:firstLine="560" w:firstLineChars="200"/>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学科综合考试是对博士生的专业知识、研究能力和外语水平等进行综合考查。</w:t>
      </w:r>
    </w:p>
    <w:p w14:paraId="611C5AAF">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（二）考核标准</w:t>
      </w:r>
    </w:p>
    <w:p w14:paraId="17CFDB98">
      <w:pPr>
        <w:ind w:firstLine="560" w:firstLineChars="200"/>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学科综合考试采用评分制，满分值为100分，低于70分视为不通过。其中：</w:t>
      </w:r>
    </w:p>
    <w:p w14:paraId="1C281EE7">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1. 外语水平：10分</w:t>
      </w:r>
    </w:p>
    <w:p w14:paraId="4A363EBD">
      <w:pPr>
        <w:pStyle w:val="14"/>
        <w:numPr>
          <w:ilvl w:val="1"/>
          <w:numId w:val="6"/>
        </w:numPr>
        <w:ind w:firstLineChars="0"/>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英文摘要翻译成汉语（5分）</w:t>
      </w:r>
    </w:p>
    <w:p w14:paraId="1E11A2B1">
      <w:pPr>
        <w:pStyle w:val="14"/>
        <w:numPr>
          <w:ilvl w:val="1"/>
          <w:numId w:val="6"/>
        </w:numPr>
        <w:ind w:firstLineChars="0"/>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中文摘要翻译成英语（5分）</w:t>
      </w:r>
    </w:p>
    <w:p w14:paraId="259B2576">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2. 学科知识：40分</w:t>
      </w:r>
    </w:p>
    <w:p w14:paraId="4BF8EC72">
      <w:pPr>
        <w:pStyle w:val="14"/>
        <w:numPr>
          <w:ilvl w:val="1"/>
          <w:numId w:val="6"/>
        </w:numPr>
        <w:ind w:firstLineChars="0"/>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知识问答题4题（每题10分）</w:t>
      </w:r>
    </w:p>
    <w:p w14:paraId="27939D51">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3. 研究能力：50分</w:t>
      </w:r>
    </w:p>
    <w:p w14:paraId="65070656">
      <w:pPr>
        <w:pStyle w:val="14"/>
        <w:numPr>
          <w:ilvl w:val="1"/>
          <w:numId w:val="6"/>
        </w:numPr>
        <w:ind w:firstLineChars="0"/>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研究方案设计题，针对不同研究方向选择1题，根据研究要求，提出科学假设，并从数据的采集、室内处理分析、方法研究等研究方案。</w:t>
      </w:r>
    </w:p>
    <w:p w14:paraId="598B103F">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（三）考核时间</w:t>
      </w:r>
    </w:p>
    <w:p w14:paraId="46FB1628">
      <w:pPr>
        <w:ind w:firstLine="560" w:firstLineChars="200"/>
        <w:rPr>
          <w:rFonts w:ascii="Times New Roman" w:hAnsi="Times New Roman" w:eastAsia="宋体" w:cs="Times New Roman"/>
          <w:sz w:val="28"/>
          <w:szCs w:val="28"/>
          <w:lang w:bidi="ar"/>
        </w:rPr>
      </w:pPr>
      <w:r>
        <w:rPr>
          <w:rFonts w:ascii="Times New Roman" w:hAnsi="Times New Roman" w:cs="Times New Roman"/>
          <w:sz w:val="28"/>
          <w:szCs w:val="28"/>
        </w:rPr>
        <w:t>二年级第1学期内进行，学生原则上在修满个人培养计划规定的全部课程学分后申请参加学科综合考试。</w:t>
      </w:r>
    </w:p>
    <w:p w14:paraId="298DCB22">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（四）考核方式</w:t>
      </w:r>
    </w:p>
    <w:p w14:paraId="3FB69F95">
      <w:pPr>
        <w:ind w:firstLine="42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笔试和面试结合，</w:t>
      </w:r>
      <w:r>
        <w:rPr>
          <w:rFonts w:hint="eastAsia" w:ascii="Times New Roman" w:hAnsi="Times New Roman" w:cs="Times New Roman"/>
          <w:sz w:val="28"/>
          <w:szCs w:val="28"/>
        </w:rPr>
        <w:t>笔试与面试成绩各占50%。</w:t>
      </w:r>
    </w:p>
    <w:p w14:paraId="5C14F4DD">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（五）考核程序</w:t>
      </w:r>
    </w:p>
    <w:p w14:paraId="2B02A50B">
      <w:pPr>
        <w:ind w:firstLine="560" w:firstLineChars="200"/>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二年级的博士研究生必须参加本年级的第一次学科综合考试，成绩分为通过（70分以上，</w:t>
      </w:r>
      <w:r>
        <w:rPr>
          <w:rFonts w:ascii="Times New Roman" w:hAnsi="Times New Roman" w:cs="Times New Roman"/>
          <w:sz w:val="28"/>
          <w:szCs w:val="28"/>
        </w:rPr>
        <w:t>第一次综合考试还需排名前85%</w:t>
      </w:r>
      <w:r>
        <w:rPr>
          <w:rFonts w:ascii="Times New Roman" w:hAnsi="Times New Roman" w:eastAsia="宋体" w:cs="Times New Roman"/>
          <w:sz w:val="28"/>
          <w:szCs w:val="28"/>
          <w:lang w:bidi="ar"/>
        </w:rPr>
        <w:t>）、暂缓通过和不通过（</w:t>
      </w:r>
      <w:r>
        <w:rPr>
          <w:rFonts w:ascii="Times New Roman" w:hAnsi="Times New Roman" w:cs="Times New Roman"/>
          <w:sz w:val="28"/>
          <w:szCs w:val="28"/>
        </w:rPr>
        <w:t>60分以下</w:t>
      </w:r>
      <w:r>
        <w:rPr>
          <w:rFonts w:ascii="Times New Roman" w:hAnsi="Times New Roman" w:eastAsia="宋体" w:cs="Times New Roman"/>
          <w:sz w:val="28"/>
          <w:szCs w:val="28"/>
          <w:lang w:bidi="ar"/>
        </w:rPr>
        <w:t>），无法参加的博士生作不通过处理。第一次学科综合考试通过率建议不超过85%。对于第一次学科综合考试成绩暂缓通过者，可在三个月后申请第二次学科综合考试或参加低年级学科综合考试；第一次学科综合考试成绩不通过和第二次学科综合考试仍未通过者，须参加低年级学科综合考试。博士在读期间最多可参加三次，三次考核仍未通过者，予以退学或转为硕士生，具体处理决定由学院（中心）学位评定分委员会审查通过，报研究生院备案，按《中国海洋大学研究生学籍管理规定》规定办理。考核通过者可以进行博士学位论文开题，暂缓通过和不通过者不得进入博士学位论文开题，不予推荐参加国家和学校的公派留学项目。博士学科综合考试材料由学院（中心）负责保管，存入博士生档案。</w:t>
      </w:r>
    </w:p>
    <w:p w14:paraId="1F8259E9">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（六）考核人员组成</w:t>
      </w:r>
    </w:p>
    <w:p w14:paraId="66BFFAFC">
      <w:pPr>
        <w:pStyle w:val="2"/>
        <w:ind w:firstLine="560" w:firstLineChars="200"/>
        <w:jc w:val="both"/>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学院成立学科综合考试小组，成员包括负责人员、监督人员、命题人员、成绩统计人员和成绩复核人员。</w:t>
      </w:r>
    </w:p>
    <w:p w14:paraId="6E0C905A">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（七）学生申诉处理委员会组成及申诉、议事规则</w:t>
      </w:r>
    </w:p>
    <w:p w14:paraId="730AC1BB">
      <w:pPr>
        <w:ind w:firstLine="560" w:firstLineChars="200"/>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如对综合考试结果有异议，研究生应当在学院公示后的3个工作日内向学院学位评定分委员会提出书面申诉。学院学位评定分委员会应当对学生提出的申诉及时予以复查，并给予明确答复。研究生在规定时间内未提出申诉的，学院将不再受理其申诉。</w:t>
      </w:r>
    </w:p>
    <w:p w14:paraId="7EB718A4">
      <w:pPr>
        <w:ind w:firstLine="420"/>
        <w:rPr>
          <w:rFonts w:ascii="Times New Roman" w:hAnsi="Times New Roman" w:eastAsia="宋体" w:cs="Times New Roman"/>
          <w:b/>
          <w:sz w:val="28"/>
          <w:szCs w:val="28"/>
          <w:lang w:bidi="ar"/>
        </w:rPr>
      </w:pPr>
      <w:r>
        <w:rPr>
          <w:rFonts w:ascii="Times New Roman" w:hAnsi="Times New Roman" w:eastAsia="宋体" w:cs="Times New Roman"/>
          <w:b/>
          <w:sz w:val="28"/>
          <w:szCs w:val="28"/>
          <w:lang w:bidi="ar"/>
        </w:rPr>
        <w:t>四、</w:t>
      </w:r>
      <w:r>
        <w:rPr>
          <w:rFonts w:ascii="Times New Roman" w:hAnsi="Times New Roman" w:eastAsia="宋体" w:cs="Times New Roman"/>
          <w:b/>
          <w:bCs/>
          <w:sz w:val="28"/>
          <w:szCs w:val="28"/>
          <w:lang w:bidi="ar"/>
        </w:rPr>
        <w:t>开题报告（博士生）</w:t>
      </w:r>
    </w:p>
    <w:p w14:paraId="51395991">
      <w:pPr>
        <w:numPr>
          <w:ilvl w:val="0"/>
          <w:numId w:val="7"/>
        </w:numPr>
        <w:rPr>
          <w:rFonts w:ascii="Times New Roman" w:hAnsi="Times New Roman" w:cs="Times New Roman"/>
          <w:sz w:val="28"/>
          <w:szCs w:val="28"/>
        </w:rPr>
      </w:pPr>
      <w:r>
        <w:rPr>
          <w:rFonts w:ascii="Times New Roman" w:hAnsi="Times New Roman" w:cs="Times New Roman"/>
          <w:sz w:val="28"/>
          <w:szCs w:val="28"/>
        </w:rPr>
        <w:t>考核内容</w:t>
      </w:r>
    </w:p>
    <w:p w14:paraId="202DF19C">
      <w:pPr>
        <w:ind w:firstLine="560" w:firstLineChars="200"/>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开题报告包含文献综述、选题背景及其意义、研究内容、工作特色及难点、预期成果及可能的创新点等。</w:t>
      </w:r>
    </w:p>
    <w:p w14:paraId="1D9AB0A9">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（二）考核标准</w:t>
      </w:r>
    </w:p>
    <w:p w14:paraId="527805B5">
      <w:pPr>
        <w:ind w:firstLine="560" w:firstLineChars="200"/>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开题报告采用评分制，满分值为100分，成绩≥70分为通过，</w:t>
      </w:r>
      <w:r>
        <w:rPr>
          <w:rFonts w:ascii="Times New Roman" w:hAnsi="Times New Roman" w:cs="Times New Roman"/>
          <w:sz w:val="28"/>
          <w:szCs w:val="28"/>
        </w:rPr>
        <w:t>其余为暂缓通过</w:t>
      </w:r>
      <w:r>
        <w:rPr>
          <w:rFonts w:ascii="Times New Roman" w:hAnsi="Times New Roman" w:eastAsia="宋体" w:cs="Times New Roman"/>
          <w:sz w:val="28"/>
          <w:szCs w:val="28"/>
          <w:lang w:bidi="ar"/>
        </w:rPr>
        <w:t>。其中：</w:t>
      </w:r>
    </w:p>
    <w:p w14:paraId="617FC113">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1. 文献综述：10分。</w:t>
      </w:r>
    </w:p>
    <w:p w14:paraId="7D1EEB50">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2. 选题背景及研究意义：10分。</w:t>
      </w:r>
    </w:p>
    <w:p w14:paraId="26364E1B">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3. 研究内容：50分。</w:t>
      </w:r>
    </w:p>
    <w:p w14:paraId="0C5F26F9">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4. 研究特色及难点：10分。</w:t>
      </w:r>
    </w:p>
    <w:p w14:paraId="3966C4AC">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5. 预期成果及可能的创新点：20分。</w:t>
      </w:r>
    </w:p>
    <w:p w14:paraId="3693C663">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（三）考核时间</w:t>
      </w:r>
    </w:p>
    <w:p w14:paraId="5E2E9DE1">
      <w:pPr>
        <w:ind w:firstLine="565" w:firstLineChars="202"/>
        <w:rPr>
          <w:rFonts w:ascii="Times New Roman" w:hAnsi="Times New Roman" w:cs="Times New Roman"/>
          <w:sz w:val="28"/>
          <w:szCs w:val="28"/>
        </w:rPr>
      </w:pPr>
      <w:r>
        <w:rPr>
          <w:rFonts w:hint="eastAsia"/>
          <w:sz w:val="28"/>
          <w:szCs w:val="28"/>
        </w:rPr>
        <w:t>博士研究生开题报告安排在二年级第1个学期内、综合考试后举行。</w:t>
      </w:r>
      <w:r>
        <w:rPr>
          <w:rFonts w:ascii="Times New Roman" w:hAnsi="Times New Roman" w:cs="Times New Roman"/>
          <w:sz w:val="28"/>
          <w:szCs w:val="28"/>
        </w:rPr>
        <w:t>开题报告和论文答辩时间间隔要求不少于2年。</w:t>
      </w:r>
    </w:p>
    <w:p w14:paraId="3D6B9961">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（四）考核方式</w:t>
      </w:r>
    </w:p>
    <w:p w14:paraId="63E7F381">
      <w:pPr>
        <w:ind w:firstLine="42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由</w:t>
      </w:r>
      <w:r>
        <w:rPr>
          <w:rFonts w:hint="eastAsia" w:ascii="Times New Roman" w:hAnsi="Times New Roman" w:eastAsia="宋体" w:cs="Times New Roman"/>
          <w:sz w:val="28"/>
          <w:szCs w:val="28"/>
          <w:lang w:bidi="ar"/>
        </w:rPr>
        <w:t>博士生导师（组）自行</w:t>
      </w:r>
      <w:r>
        <w:rPr>
          <w:rFonts w:ascii="Times New Roman" w:hAnsi="Times New Roman" w:eastAsia="宋体" w:cs="Times New Roman"/>
          <w:sz w:val="28"/>
          <w:szCs w:val="28"/>
          <w:lang w:bidi="ar"/>
        </w:rPr>
        <w:t>组织，</w:t>
      </w:r>
      <w:r>
        <w:rPr>
          <w:rFonts w:hint="eastAsia" w:ascii="Times New Roman" w:hAnsi="Times New Roman" w:eastAsia="宋体" w:cs="Times New Roman"/>
          <w:sz w:val="28"/>
          <w:szCs w:val="28"/>
          <w:lang w:bidi="ar"/>
        </w:rPr>
        <w:t>原则上</w:t>
      </w:r>
      <w:r>
        <w:rPr>
          <w:rFonts w:ascii="Times New Roman" w:hAnsi="Times New Roman" w:eastAsia="宋体" w:cs="Times New Roman"/>
          <w:sz w:val="28"/>
          <w:szCs w:val="28"/>
          <w:lang w:bidi="ar"/>
        </w:rPr>
        <w:t>学生采取</w:t>
      </w:r>
      <w:r>
        <w:rPr>
          <w:rFonts w:hint="eastAsia" w:ascii="Times New Roman" w:hAnsi="Times New Roman" w:eastAsia="宋体" w:cs="Times New Roman"/>
          <w:sz w:val="28"/>
          <w:szCs w:val="28"/>
          <w:lang w:bidi="ar"/>
        </w:rPr>
        <w:t>线下</w:t>
      </w:r>
      <w:r>
        <w:rPr>
          <w:rFonts w:ascii="Times New Roman" w:hAnsi="Times New Roman" w:eastAsia="宋体" w:cs="Times New Roman"/>
          <w:sz w:val="28"/>
          <w:szCs w:val="28"/>
          <w:lang w:bidi="ar"/>
        </w:rPr>
        <w:t>公开答辩</w:t>
      </w:r>
      <w:r>
        <w:rPr>
          <w:rFonts w:hint="eastAsia" w:ascii="Times New Roman" w:hAnsi="Times New Roman" w:eastAsia="宋体" w:cs="Times New Roman"/>
          <w:sz w:val="28"/>
          <w:szCs w:val="28"/>
          <w:lang w:bidi="ar"/>
        </w:rPr>
        <w:t>的</w:t>
      </w:r>
      <w:r>
        <w:rPr>
          <w:rFonts w:ascii="Times New Roman" w:hAnsi="Times New Roman" w:eastAsia="宋体" w:cs="Times New Roman"/>
          <w:sz w:val="28"/>
          <w:szCs w:val="28"/>
          <w:lang w:bidi="ar"/>
        </w:rPr>
        <w:t>方式。</w:t>
      </w:r>
      <w:r>
        <w:rPr>
          <w:rFonts w:hint="eastAsia" w:ascii="Times New Roman" w:hAnsi="Times New Roman" w:eastAsia="宋体" w:cs="Times New Roman"/>
          <w:sz w:val="28"/>
          <w:szCs w:val="28"/>
          <w:lang w:bidi="ar"/>
        </w:rPr>
        <w:t>答辩日程与组成人员须至少提前1周报送学院（中心）学位评定分委员会。</w:t>
      </w:r>
    </w:p>
    <w:p w14:paraId="547590D3">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（五）考核程序</w:t>
      </w:r>
    </w:p>
    <w:p w14:paraId="3D41DD3F">
      <w:pPr>
        <w:ind w:firstLine="420"/>
        <w:jc w:val="left"/>
        <w:rPr>
          <w:rFonts w:ascii="Times New Roman" w:hAnsi="Times New Roman" w:eastAsia="宋体" w:cs="Times New Roman"/>
          <w:sz w:val="28"/>
          <w:szCs w:val="28"/>
          <w:lang w:bidi="ar"/>
        </w:rPr>
      </w:pPr>
      <w:r>
        <w:rPr>
          <w:rFonts w:ascii="Times New Roman" w:hAnsi="Times New Roman" w:cs="Times New Roman"/>
          <w:sz w:val="28"/>
          <w:szCs w:val="28"/>
        </w:rPr>
        <w:t>博士二年级第1学期应申请首次开题，对于第一次开题暂缓通过者，经</w:t>
      </w:r>
      <w:r>
        <w:rPr>
          <w:rFonts w:hint="eastAsia" w:ascii="Times New Roman" w:hAnsi="Times New Roman" w:cs="Times New Roman"/>
          <w:sz w:val="28"/>
          <w:szCs w:val="28"/>
        </w:rPr>
        <w:t>学院（中心）学位评定分委员会</w:t>
      </w:r>
      <w:r>
        <w:rPr>
          <w:rFonts w:ascii="Times New Roman" w:hAnsi="Times New Roman" w:cs="Times New Roman"/>
          <w:sz w:val="28"/>
          <w:szCs w:val="28"/>
        </w:rPr>
        <w:t>同意，可在三个月后重新开题。两次开题仍未通过者，予以退学或转为硕士生。开题报告通过后，若论文选题有重大修改，则应在规定时间内重新开题。</w:t>
      </w:r>
      <w:r>
        <w:rPr>
          <w:rFonts w:ascii="Times New Roman" w:hAnsi="Times New Roman" w:eastAsia="宋体" w:cs="Times New Roman"/>
          <w:sz w:val="28"/>
          <w:szCs w:val="28"/>
          <w:lang w:bidi="ar"/>
        </w:rPr>
        <w:t>开题报告材料由学院（中心）负责保管，存入博士生档案</w:t>
      </w:r>
      <w:r>
        <w:rPr>
          <w:rFonts w:hint="eastAsia" w:ascii="Times New Roman" w:hAnsi="Times New Roman" w:eastAsia="宋体" w:cs="Times New Roman"/>
          <w:sz w:val="28"/>
          <w:szCs w:val="28"/>
          <w:lang w:bidi="ar"/>
        </w:rPr>
        <w:t>。</w:t>
      </w:r>
    </w:p>
    <w:p w14:paraId="5EF58654">
      <w:pPr>
        <w:ind w:firstLine="0" w:firstLineChars="0"/>
        <w:rPr>
          <w:rFonts w:ascii="Times New Roman" w:hAnsi="Times New Roman" w:cs="Times New Roman"/>
          <w:sz w:val="28"/>
          <w:szCs w:val="28"/>
        </w:rPr>
      </w:pPr>
      <w:r>
        <w:rPr>
          <w:rFonts w:ascii="Times New Roman" w:hAnsi="Times New Roman" w:eastAsia="宋体" w:cs="Times New Roman"/>
          <w:sz w:val="28"/>
          <w:szCs w:val="28"/>
          <w:lang w:bidi="ar"/>
        </w:rPr>
        <w:t>（六）考核人员组成</w:t>
      </w:r>
    </w:p>
    <w:p w14:paraId="5DB29184">
      <w:pPr>
        <w:ind w:firstLine="565" w:firstLineChars="202"/>
        <w:rPr>
          <w:rFonts w:ascii="Times New Roman" w:hAnsi="Times New Roman" w:cs="Times New Roman"/>
          <w:sz w:val="28"/>
          <w:szCs w:val="28"/>
          <w:highlight w:val="none"/>
        </w:rPr>
      </w:pPr>
      <w:r>
        <w:rPr>
          <w:rFonts w:hint="eastAsia"/>
          <w:sz w:val="28"/>
          <w:szCs w:val="28"/>
          <w:highlight w:val="none"/>
        </w:rPr>
        <w:t>博士研究生开题报告专家组需至少5名专家组成，其中至少包含博士生导师2名以上，</w:t>
      </w:r>
      <w:r>
        <w:rPr>
          <w:sz w:val="28"/>
          <w:szCs w:val="28"/>
          <w:highlight w:val="none"/>
        </w:rPr>
        <w:t>导师不作为考核</w:t>
      </w:r>
      <w:r>
        <w:rPr>
          <w:rFonts w:hint="eastAsia"/>
          <w:sz w:val="28"/>
          <w:szCs w:val="28"/>
          <w:highlight w:val="none"/>
        </w:rPr>
        <w:t>专家组</w:t>
      </w:r>
      <w:r>
        <w:rPr>
          <w:sz w:val="28"/>
          <w:szCs w:val="28"/>
          <w:highlight w:val="none"/>
        </w:rPr>
        <w:t>成员</w:t>
      </w:r>
      <w:r>
        <w:rPr>
          <w:rFonts w:hint="eastAsia"/>
          <w:sz w:val="28"/>
          <w:szCs w:val="28"/>
          <w:highlight w:val="none"/>
        </w:rPr>
        <w:t>。工作人员包括会议记录人员、成绩统计人员和成绩复核人员。</w:t>
      </w:r>
    </w:p>
    <w:p w14:paraId="26855E3B">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（七）学生申诉处理委员会组成及申诉、议事规则</w:t>
      </w:r>
    </w:p>
    <w:p w14:paraId="657CB8C6">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如对开题报告结果有异议，研究生应当在学院公示后的3个工作日内向学院学位评定分委员会提出书面申诉。学院学位评定分委员会应当对学生提出的申诉及时予以复查，并给予明确答复。研究生在规定时间内未提出申诉的，学院将不再受理其申诉。</w:t>
      </w:r>
    </w:p>
    <w:p w14:paraId="7CC97EBC">
      <w:pPr>
        <w:rPr>
          <w:rFonts w:ascii="Times New Roman" w:hAnsi="Times New Roman" w:cs="Times New Roman"/>
          <w:b/>
          <w:bCs/>
          <w:sz w:val="28"/>
          <w:szCs w:val="28"/>
        </w:rPr>
      </w:pPr>
      <w:r>
        <w:rPr>
          <w:rFonts w:ascii="Times New Roman" w:hAnsi="Times New Roman" w:cs="Times New Roman"/>
          <w:b/>
          <w:bCs/>
          <w:sz w:val="28"/>
          <w:szCs w:val="28"/>
        </w:rPr>
        <w:t>五、</w:t>
      </w:r>
      <w:r>
        <w:rPr>
          <w:rFonts w:ascii="Times New Roman" w:hAnsi="Times New Roman" w:eastAsia="宋体" w:cs="Times New Roman"/>
          <w:b/>
          <w:bCs/>
          <w:sz w:val="28"/>
          <w:szCs w:val="28"/>
          <w:lang w:bidi="ar"/>
        </w:rPr>
        <w:t>开题审核（硕士生）</w:t>
      </w:r>
    </w:p>
    <w:p w14:paraId="590FE755">
      <w:pPr>
        <w:rPr>
          <w:rFonts w:ascii="Times New Roman" w:hAnsi="Times New Roman" w:cs="Times New Roman"/>
          <w:sz w:val="28"/>
          <w:szCs w:val="28"/>
        </w:rPr>
      </w:pPr>
      <w:r>
        <w:rPr>
          <w:rFonts w:ascii="Times New Roman" w:hAnsi="Times New Roman" w:cs="Times New Roman"/>
          <w:sz w:val="28"/>
          <w:szCs w:val="28"/>
        </w:rPr>
        <w:t>（一）考核内容</w:t>
      </w:r>
    </w:p>
    <w:p w14:paraId="522A9D97">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重点考查硕士生的开题报告、课程学分完成情况和思想政治等综合表现。</w:t>
      </w:r>
    </w:p>
    <w:p w14:paraId="47EC9168">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（二）考核标准</w:t>
      </w:r>
    </w:p>
    <w:p w14:paraId="59931DAB">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开题审核采用评分制，满分值为100分，</w:t>
      </w:r>
      <w:r>
        <w:rPr>
          <w:rFonts w:ascii="Times New Roman" w:hAnsi="Times New Roman" w:cs="Times New Roman"/>
          <w:sz w:val="28"/>
          <w:szCs w:val="28"/>
        </w:rPr>
        <w:t>学生成绩≥70分为通过（第一次开题审核还需排名前85%），60分以下为不通过，其余为暂缓通过。</w:t>
      </w:r>
      <w:r>
        <w:rPr>
          <w:rFonts w:ascii="Times New Roman" w:hAnsi="Times New Roman" w:eastAsia="宋体" w:cs="Times New Roman"/>
          <w:sz w:val="28"/>
          <w:szCs w:val="28"/>
          <w:lang w:bidi="ar"/>
        </w:rPr>
        <w:t>其中：</w:t>
      </w:r>
    </w:p>
    <w:p w14:paraId="7BE60F9F">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（三）考核时间</w:t>
      </w:r>
    </w:p>
    <w:p w14:paraId="43F2332F">
      <w:pPr>
        <w:ind w:firstLine="565" w:firstLineChars="202"/>
        <w:rPr>
          <w:rFonts w:ascii="Times New Roman" w:hAnsi="Times New Roman" w:cs="Times New Roman"/>
          <w:sz w:val="28"/>
          <w:szCs w:val="28"/>
        </w:rPr>
      </w:pPr>
      <w:r>
        <w:rPr>
          <w:rFonts w:ascii="Times New Roman" w:hAnsi="Times New Roman" w:cs="Times New Roman"/>
          <w:sz w:val="28"/>
          <w:szCs w:val="28"/>
        </w:rPr>
        <w:t>硕士研究生开题审核安排在二年级第1个学期内举行。学生需在修满个人培养计划规定的全部课程学分后申请参加开题审核。开题审核和论文答辩时间间隔要求不少于1年。</w:t>
      </w:r>
    </w:p>
    <w:p w14:paraId="3DA2659F">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（四）考核方式</w:t>
      </w:r>
    </w:p>
    <w:p w14:paraId="1A214C8C">
      <w:pPr>
        <w:ind w:firstLine="565" w:firstLineChars="202"/>
        <w:rPr>
          <w:rFonts w:ascii="Times New Roman" w:hAnsi="Times New Roman" w:eastAsia="宋体" w:cs="Times New Roman"/>
          <w:sz w:val="28"/>
          <w:szCs w:val="28"/>
          <w:lang w:bidi="ar"/>
        </w:rPr>
      </w:pPr>
      <w:r>
        <w:rPr>
          <w:rFonts w:ascii="Times New Roman" w:hAnsi="Times New Roman" w:cs="Times New Roman"/>
          <w:sz w:val="28"/>
          <w:szCs w:val="28"/>
        </w:rPr>
        <w:t>以会议方式进行，由学院统一组织专家组对开题材料进行审核，可以分组考核。采取公开答辩、专家评分的方式对硕士生学位论文开题报告进行评议。</w:t>
      </w:r>
    </w:p>
    <w:p w14:paraId="0A824ACA">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（五）考核程序</w:t>
      </w:r>
    </w:p>
    <w:p w14:paraId="437BD623">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对硕士生学位论文开题报告进行评议，评议结果分为通过、暂缓通过或不通过，无法参加的硕士生作不通过处理，第一次开题审核通过率不高于85%。对于第一次开题审核评议暂缓通过者，可在三个月后申请重新开题审核或参加低年级开题审核；第一次开题审核评议不通过者，须参加低年级开题审核。硕士生两次开题审核仍未通过者，予以退学。开题审核通过后，若论文选题有重大修改，则应在规定时间内重新开题。开题审核材料由学院（中心）负责保管，存入硕士生档案。</w:t>
      </w:r>
    </w:p>
    <w:p w14:paraId="00D2E3BF">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（六）考核人员组成</w:t>
      </w:r>
    </w:p>
    <w:p w14:paraId="3577C07F">
      <w:pPr>
        <w:ind w:firstLine="565" w:firstLineChars="202"/>
        <w:rPr>
          <w:rFonts w:ascii="Times New Roman" w:hAnsi="Times New Roman" w:eastAsia="宋体" w:cs="Times New Roman"/>
          <w:sz w:val="28"/>
          <w:szCs w:val="28"/>
          <w:lang w:bidi="ar"/>
        </w:rPr>
      </w:pPr>
      <w:bookmarkStart w:id="0" w:name="_Hlk73895346"/>
      <w:r>
        <w:rPr>
          <w:rFonts w:ascii="Times New Roman" w:hAnsi="Times New Roman" w:eastAsia="宋体" w:cs="Times New Roman"/>
          <w:sz w:val="28"/>
          <w:szCs w:val="28"/>
          <w:lang w:bidi="ar"/>
        </w:rPr>
        <w:t>考核小组由</w:t>
      </w:r>
      <w:bookmarkEnd w:id="0"/>
      <w:r>
        <w:rPr>
          <w:rFonts w:ascii="Times New Roman" w:hAnsi="Times New Roman" w:eastAsia="宋体" w:cs="Times New Roman"/>
          <w:sz w:val="28"/>
          <w:szCs w:val="28"/>
          <w:lang w:bidi="ar"/>
        </w:rPr>
        <w:t>5名具有硕士生导师资格的教师组成。指导教师列席开题，但不作为考核小组成员，且在讨论表决、形成决议时应回避。</w:t>
      </w:r>
    </w:p>
    <w:p w14:paraId="4E20A520">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（七）学生申诉处理委员会组成及申诉、议事规则</w:t>
      </w:r>
    </w:p>
    <w:p w14:paraId="556B8B86">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如对开题审核结果有异议，研究生应当在学院公示后的3个工作日内向学院学位评定分委员会提出书面申诉。学院学位评定分委员会应当对学生提出的申诉及时予以复查，并给予明确答复。研究生在规定时间内未提出申诉的，学院将不再受理其申诉。</w:t>
      </w:r>
    </w:p>
    <w:p w14:paraId="19D477C9">
      <w:pPr>
        <w:rPr>
          <w:rFonts w:ascii="Times New Roman" w:hAnsi="Times New Roman" w:cs="Times New Roman"/>
          <w:b/>
          <w:bCs/>
          <w:sz w:val="28"/>
          <w:szCs w:val="28"/>
        </w:rPr>
      </w:pPr>
      <w:r>
        <w:rPr>
          <w:rFonts w:ascii="Times New Roman" w:hAnsi="Times New Roman" w:cs="Times New Roman"/>
          <w:b/>
          <w:bCs/>
          <w:sz w:val="28"/>
          <w:szCs w:val="28"/>
        </w:rPr>
        <w:t>六、</w:t>
      </w:r>
      <w:r>
        <w:rPr>
          <w:rFonts w:ascii="Times New Roman" w:hAnsi="Times New Roman" w:eastAsia="宋体" w:cs="Times New Roman"/>
          <w:b/>
          <w:bCs/>
          <w:sz w:val="28"/>
          <w:szCs w:val="28"/>
          <w:lang w:bidi="ar"/>
        </w:rPr>
        <w:t>论文研究进展报告</w:t>
      </w:r>
    </w:p>
    <w:p w14:paraId="07042746">
      <w:pPr>
        <w:rPr>
          <w:rFonts w:ascii="Times New Roman" w:hAnsi="Times New Roman" w:cs="Times New Roman"/>
          <w:sz w:val="28"/>
          <w:szCs w:val="28"/>
        </w:rPr>
      </w:pPr>
      <w:r>
        <w:rPr>
          <w:rFonts w:ascii="Times New Roman" w:hAnsi="Times New Roman" w:cs="Times New Roman"/>
          <w:sz w:val="28"/>
          <w:szCs w:val="28"/>
        </w:rPr>
        <w:t>（一）考核内容</w:t>
      </w:r>
    </w:p>
    <w:p w14:paraId="45636652">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论文研究工作的进展情况和所取得的阶段性成果，对研究内容、研究方法等进行诊断。</w:t>
      </w:r>
    </w:p>
    <w:p w14:paraId="115932FB">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（二）考核标准</w:t>
      </w:r>
    </w:p>
    <w:p w14:paraId="26057CD6">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考核结果分为通过和不通过。</w:t>
      </w:r>
    </w:p>
    <w:p w14:paraId="3B92D351">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（三）考核时间</w:t>
      </w:r>
    </w:p>
    <w:p w14:paraId="0AC19F66">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硕士研究生在三年级第一学期、博士生在三年级</w:t>
      </w:r>
      <w:r>
        <w:rPr>
          <w:rFonts w:hint="eastAsia" w:ascii="Times New Roman" w:hAnsi="Times New Roman" w:eastAsia="宋体" w:cs="Times New Roman"/>
          <w:sz w:val="28"/>
          <w:szCs w:val="28"/>
          <w:lang w:bidi="ar"/>
        </w:rPr>
        <w:t>、本直博生在四年级</w:t>
      </w:r>
      <w:r>
        <w:rPr>
          <w:rFonts w:ascii="Times New Roman" w:hAnsi="Times New Roman" w:eastAsia="宋体" w:cs="Times New Roman"/>
          <w:sz w:val="28"/>
          <w:szCs w:val="28"/>
          <w:lang w:bidi="ar"/>
        </w:rPr>
        <w:t>。</w:t>
      </w:r>
    </w:p>
    <w:p w14:paraId="410CBEC8">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（四）考核方式</w:t>
      </w:r>
    </w:p>
    <w:p w14:paraId="20FFD760">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公开报告，并提交书面报告。</w:t>
      </w:r>
    </w:p>
    <w:p w14:paraId="11F633C0">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（五）考核程序</w:t>
      </w:r>
    </w:p>
    <w:p w14:paraId="2D2C173B">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硕士研究生在三年级第一学期、博士生在三年级</w:t>
      </w:r>
      <w:r>
        <w:rPr>
          <w:rFonts w:hint="eastAsia" w:ascii="Times New Roman" w:hAnsi="Times New Roman" w:eastAsia="宋体" w:cs="Times New Roman"/>
          <w:sz w:val="28"/>
          <w:szCs w:val="28"/>
          <w:lang w:bidi="ar"/>
        </w:rPr>
        <w:t>、本直博生在四年级</w:t>
      </w:r>
      <w:r>
        <w:rPr>
          <w:rFonts w:ascii="Times New Roman" w:hAnsi="Times New Roman" w:eastAsia="宋体" w:cs="Times New Roman"/>
          <w:sz w:val="28"/>
          <w:szCs w:val="28"/>
          <w:lang w:bidi="ar"/>
        </w:rPr>
        <w:t>以学术报告形式进行论文研究进展报告，重点对论文研究工作的进展情况和所取得的阶段性成果，对研究内容、研究方法等进行诊断。专家投票决定考核结果，投票分为通过和不通过，得到“通过”票超过总投票人数的1/2者方可通过考核。经考核评估，如认为该生不符合培养条件，博士生应退学或转为硕士生，硕士生应退学。</w:t>
      </w:r>
    </w:p>
    <w:p w14:paraId="0F83FB0B">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（六）考核人员组成</w:t>
      </w:r>
    </w:p>
    <w:p w14:paraId="554288D8">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考核小组由5名具有指导硕士生或博士生资格的教师组成。</w:t>
      </w:r>
    </w:p>
    <w:p w14:paraId="7488BAFB">
      <w:pPr>
        <w:pStyle w:val="14"/>
        <w:numPr>
          <w:ilvl w:val="0"/>
          <w:numId w:val="8"/>
        </w:numPr>
        <w:ind w:firstLineChars="0"/>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学生申诉处理委员会组成及申诉、议事规则</w:t>
      </w:r>
    </w:p>
    <w:p w14:paraId="3C7A1A55">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如对研究进展结果有异议，研究生应当在学院公示后的3个工作日内向学院学位评定分委员会提出书面申诉。学院学位评定分委员会应当对学生提出的申诉及时予以复查，并给予明确答复。研究生在规定时间内未提出申诉的，学院将不再受理其申诉。</w:t>
      </w:r>
    </w:p>
    <w:p w14:paraId="3350FF21">
      <w:pPr>
        <w:ind w:firstLine="420"/>
        <w:rPr>
          <w:rFonts w:ascii="Times New Roman" w:hAnsi="Times New Roman" w:cs="Times New Roman"/>
          <w:b/>
          <w:bCs/>
          <w:sz w:val="28"/>
          <w:szCs w:val="28"/>
        </w:rPr>
      </w:pPr>
      <w:r>
        <w:rPr>
          <w:rFonts w:ascii="Times New Roman" w:hAnsi="Times New Roman" w:eastAsia="宋体" w:cs="Times New Roman"/>
          <w:b/>
          <w:bCs/>
          <w:sz w:val="28"/>
          <w:szCs w:val="28"/>
          <w:lang w:bidi="ar"/>
        </w:rPr>
        <w:t>七、学位论文预答辩（博士生）</w:t>
      </w:r>
    </w:p>
    <w:p w14:paraId="45585D12">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（一）考核内容</w:t>
      </w:r>
    </w:p>
    <w:p w14:paraId="69F74B56">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综合考查学生的理论基础、知识结构、研究能力和成果水平等。</w:t>
      </w:r>
    </w:p>
    <w:p w14:paraId="4F120D3D">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（二）考核标准</w:t>
      </w:r>
    </w:p>
    <w:p w14:paraId="0292C5B0">
      <w:pPr>
        <w:ind w:firstLine="565" w:firstLineChars="202"/>
        <w:rPr>
          <w:rFonts w:ascii="Times New Roman" w:hAnsi="Times New Roman" w:cs="Times New Roman"/>
          <w:sz w:val="28"/>
          <w:szCs w:val="28"/>
        </w:rPr>
      </w:pPr>
      <w:r>
        <w:rPr>
          <w:rFonts w:ascii="Times New Roman" w:hAnsi="Times New Roman" w:cs="Times New Roman"/>
          <w:sz w:val="28"/>
          <w:szCs w:val="28"/>
        </w:rPr>
        <w:t>分为通过和暂缓通过2种标准。预答辩应重点就研究的充分性、创新性以及学位论文写作的规范性等方面进行评估和把关，需进行重大或较多修改的，须再次预答辩。第一次预答辩通过比例不高于80%，</w:t>
      </w:r>
      <w:r>
        <w:rPr>
          <w:rFonts w:hint="eastAsia"/>
          <w:sz w:val="28"/>
          <w:szCs w:val="28"/>
        </w:rPr>
        <w:t>预答辩未通过者可在1</w:t>
      </w:r>
      <w:r>
        <w:rPr>
          <w:sz w:val="28"/>
          <w:szCs w:val="28"/>
        </w:rPr>
        <w:t>-2</w:t>
      </w:r>
      <w:r>
        <w:rPr>
          <w:rFonts w:hint="eastAsia"/>
          <w:sz w:val="28"/>
          <w:szCs w:val="28"/>
        </w:rPr>
        <w:t>月内重新组织预答辩</w:t>
      </w:r>
      <w:r>
        <w:rPr>
          <w:rFonts w:ascii="Times New Roman" w:hAnsi="Times New Roman" w:cs="Times New Roman"/>
          <w:sz w:val="28"/>
          <w:szCs w:val="28"/>
        </w:rPr>
        <w:t>。</w:t>
      </w:r>
    </w:p>
    <w:p w14:paraId="53B6B353">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（三）考核时间</w:t>
      </w:r>
    </w:p>
    <w:p w14:paraId="230A4E73">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第一次预答辩原则上在校学位评定委员会召开前6个月公开举</w:t>
      </w:r>
    </w:p>
    <w:p w14:paraId="5D704D58">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行。</w:t>
      </w:r>
    </w:p>
    <w:p w14:paraId="38541252">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（四）考核方式</w:t>
      </w:r>
    </w:p>
    <w:p w14:paraId="0C4F961B">
      <w:pPr>
        <w:ind w:firstLine="565" w:firstLineChars="202"/>
        <w:rPr>
          <w:rFonts w:ascii="Times New Roman" w:hAnsi="Times New Roman" w:cs="Times New Roman"/>
          <w:sz w:val="28"/>
          <w:szCs w:val="28"/>
        </w:rPr>
      </w:pPr>
      <w:r>
        <w:rPr>
          <w:rFonts w:ascii="Times New Roman" w:hAnsi="Times New Roman" w:cs="Times New Roman"/>
          <w:sz w:val="28"/>
          <w:szCs w:val="28"/>
        </w:rPr>
        <w:t>由学院组织并以会议方式进行，研究生汇报论文研究内容，专家组打分并给出考核结论。</w:t>
      </w:r>
    </w:p>
    <w:p w14:paraId="643E33C4">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（五）考核程序</w:t>
      </w:r>
    </w:p>
    <w:p w14:paraId="4154DB9E">
      <w:pPr>
        <w:ind w:firstLine="420"/>
        <w:jc w:val="left"/>
        <w:rPr>
          <w:rFonts w:ascii="Times New Roman" w:hAnsi="Times New Roman" w:cs="Times New Roman"/>
          <w:sz w:val="28"/>
          <w:szCs w:val="28"/>
        </w:rPr>
      </w:pPr>
      <w:r>
        <w:rPr>
          <w:rFonts w:ascii="Times New Roman" w:hAnsi="Times New Roman" w:cs="Times New Roman"/>
          <w:sz w:val="28"/>
          <w:szCs w:val="28"/>
        </w:rPr>
        <w:t>研究生汇报论文研究工作内容及本人承诺；专家组评审意见及评审结论；学生填写论文修改措施；导师（组）意见；学院（中心）审批意见。</w:t>
      </w:r>
    </w:p>
    <w:p w14:paraId="6F7A0813">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（六）考核人员组成</w:t>
      </w:r>
    </w:p>
    <w:p w14:paraId="3794AC47">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考核小组由5名具有正高级职称或具有指导博士生资格的专家组成。指导教师列席预答辩，但不作为考核小组成员，且在讨论表决、形成决议时应回避。</w:t>
      </w:r>
    </w:p>
    <w:p w14:paraId="5DA1DE82">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（七）学生申诉处理委员会组成及申诉、议事规则</w:t>
      </w:r>
    </w:p>
    <w:p w14:paraId="25E1FC57">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如对预答辩结果有异议，研究生应当在学院公示后的3个工作日内向学院学位评定分委员会提出书面申诉。学院学位评定分委员会应当对学生提出的申诉及时予以复查，并给予明确答复。研究生在规定时间内未提出申诉的，学院将不再受理其申诉。</w:t>
      </w:r>
    </w:p>
    <w:p w14:paraId="699A6AA6">
      <w:pPr>
        <w:pStyle w:val="14"/>
        <w:numPr>
          <w:ilvl w:val="0"/>
          <w:numId w:val="9"/>
        </w:numPr>
        <w:ind w:firstLineChars="0"/>
        <w:rPr>
          <w:rFonts w:ascii="Times New Roman" w:hAnsi="Times New Roman" w:cs="Times New Roman"/>
          <w:b/>
          <w:bCs/>
          <w:sz w:val="28"/>
          <w:szCs w:val="28"/>
        </w:rPr>
      </w:pPr>
      <w:r>
        <w:rPr>
          <w:rFonts w:ascii="Times New Roman" w:hAnsi="Times New Roman" w:eastAsia="宋体" w:cs="Times New Roman"/>
          <w:b/>
          <w:bCs/>
          <w:sz w:val="28"/>
          <w:szCs w:val="28"/>
          <w:lang w:bidi="ar"/>
        </w:rPr>
        <w:t>学位论文答辩</w:t>
      </w:r>
    </w:p>
    <w:p w14:paraId="63FA425C">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（一）考核内容</w:t>
      </w:r>
    </w:p>
    <w:p w14:paraId="12D0BE62">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研究的充分性、创新性以及学位论文写作的规范性等方面。</w:t>
      </w:r>
    </w:p>
    <w:p w14:paraId="6D246BD9">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（二）考核标准</w:t>
      </w:r>
    </w:p>
    <w:p w14:paraId="294A5127">
      <w:pPr>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按照本学科学位论文基本要求进行考核。</w:t>
      </w:r>
    </w:p>
    <w:p w14:paraId="23181F9C">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（三）考核时间</w:t>
      </w:r>
    </w:p>
    <w:p w14:paraId="6F81605C">
      <w:pPr>
        <w:ind w:firstLine="560" w:firstLineChars="200"/>
        <w:rPr>
          <w:rFonts w:ascii="Times New Roman" w:hAnsi="Times New Roman" w:eastAsia="宋体" w:cs="Times New Roman"/>
          <w:sz w:val="28"/>
          <w:szCs w:val="28"/>
          <w:lang w:bidi="ar"/>
        </w:rPr>
      </w:pPr>
      <w:r>
        <w:rPr>
          <w:rFonts w:ascii="Times New Roman" w:hAnsi="Times New Roman" w:eastAsia="宋体" w:cs="Times New Roman"/>
          <w:sz w:val="28"/>
        </w:rPr>
        <w:t>博士学位论文答辩一般应在第一次开题报告通过2年后、硕士学位论文答辩一般应在第一次开题审核通过1年后进行。具体安排在</w:t>
      </w:r>
      <w:r>
        <w:rPr>
          <w:rFonts w:ascii="Times New Roman" w:hAnsi="Times New Roman" w:eastAsia="宋体" w:cs="Times New Roman"/>
          <w:sz w:val="28"/>
          <w:szCs w:val="28"/>
        </w:rPr>
        <w:t>毕业前1-2个月内举行。</w:t>
      </w:r>
    </w:p>
    <w:p w14:paraId="515AAE92">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（四）考核方式</w:t>
      </w:r>
    </w:p>
    <w:p w14:paraId="1EE7E857">
      <w:pPr>
        <w:ind w:firstLine="560" w:firstLineChars="200"/>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学位论文答辩采用现场考核形式进行，研究生向答辩委员会专家汇报学位论文情况，答辩小组成员对学位论文进行质疑，对论文的创新性、学术水平、研究成果、写作规范性等进行评议。</w:t>
      </w:r>
    </w:p>
    <w:p w14:paraId="41C90827">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（五）考核程序</w:t>
      </w:r>
    </w:p>
    <w:p w14:paraId="584AA2FF">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1.答辩委员会主席宣布开始，宣读答辩委员会成员名单、申请人姓名、学位论文题目等。</w:t>
      </w:r>
    </w:p>
    <w:p w14:paraId="425C00E1">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2.指导教师简要介绍研究生的课程学习成绩、开题报告情况、从事科研工作情况等。</w:t>
      </w:r>
    </w:p>
    <w:p w14:paraId="5E9A9552">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3.研究生报告论文的主要内容（硕士论文半小时左右，博士论文一小时左右）。</w:t>
      </w:r>
    </w:p>
    <w:p w14:paraId="6B5F65F8">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4.与会者提问，进行论文答辩。</w:t>
      </w:r>
    </w:p>
    <w:p w14:paraId="45D7CC9C">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5.休会：研究生、列席旁听人员退场，答辩委员会举行会议，答辩秘书宣读论文评阅人的学术评语，委员就学位论文及答辩情况交换意见，以无记名投票方式就论文是否通过、是否同意授予学位进行表决，并作出书面决议，填写《中国海洋大学学位论文答辩会议记录和表决票》；学位论文需要全体答辩委员的三分之二以上（含三分之二）同意方为通过；答辩委员会决议、会议记录需要经过主席审阅签字。</w:t>
      </w:r>
    </w:p>
    <w:p w14:paraId="02D15DB5">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6.复会：指导教师和研究生返回会场，答辩委员会主席宣布对学位论文的学术评语及决议。</w:t>
      </w:r>
    </w:p>
    <w:p w14:paraId="3504A4D9">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（六）考核人员组成</w:t>
      </w:r>
    </w:p>
    <w:p w14:paraId="0E34E63D">
      <w:pPr>
        <w:ind w:firstLine="560" w:firstLineChars="200"/>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博士学位论文答辩委员会由不少于7名、熟悉本领域研究前沿的教授（或相当职称）或博士生指导教师组成，其中博导不少于3人，校外专家不少于3人，组成人员须经学院（中心）学位评定分委员会审议、校学位评定委员会办公室审核；硕士学位论文答辩委员会一般由不少于5名副教授（或相当职称）及以上或研究生指导教师组成，其中校外专家不少于2人，组成人员须经学院（中心）学位评定分委员会审核。未经审核，不得进行论文答辩。指导教师可列席答辩，但不作为答辩委员会成员，且在讨论表决、形成决议时应离席回避。</w:t>
      </w:r>
    </w:p>
    <w:p w14:paraId="1E716EA1">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（七）学生申诉处理委员会组成及申诉、议事规则</w:t>
      </w:r>
    </w:p>
    <w:p w14:paraId="07083F67">
      <w:pPr>
        <w:ind w:firstLine="560" w:firstLineChars="200"/>
        <w:rPr>
          <w:rFonts w:ascii="Times New Roman" w:hAnsi="Times New Roman" w:cs="Times New Roman"/>
          <w:sz w:val="28"/>
          <w:szCs w:val="28"/>
        </w:rPr>
      </w:pPr>
      <w:r>
        <w:rPr>
          <w:rFonts w:ascii="Times New Roman" w:hAnsi="Times New Roman" w:eastAsia="宋体" w:cs="Times New Roman"/>
          <w:sz w:val="28"/>
          <w:szCs w:val="28"/>
          <w:lang w:bidi="ar"/>
        </w:rPr>
        <w:t>如对答辩结果有异议，研究生应当在学院公示后的3个工作日内向学院学位评定分委员会提出书面申诉。学院学位评定分委员会应当对学生提出的申诉及时予以复查，并给予明确答复。研究生在规定时间内未提出申诉的，学院将不再受理其申诉。</w:t>
      </w:r>
      <w:bookmarkStart w:id="1" w:name="_GoBack"/>
      <w:bookmarkEnd w:id="1"/>
    </w:p>
    <w:sectPr>
      <w:footerReference r:id="rId4" w:type="default"/>
      <w:type w:val="continuous"/>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9104671"/>
    </w:sdtPr>
    <w:sdtContent>
      <w:p w14:paraId="205AC55E">
        <w:pPr>
          <w:pStyle w:val="4"/>
          <w:jc w:val="center"/>
        </w:pPr>
        <w:r>
          <w:fldChar w:fldCharType="begin"/>
        </w:r>
        <w:r>
          <w:instrText xml:space="preserve">PAGE   \* MERGEFORMAT</w:instrText>
        </w:r>
        <w:r>
          <w:fldChar w:fldCharType="separate"/>
        </w:r>
        <w:r>
          <w:rPr>
            <w:lang w:val="zh-CN"/>
          </w:rPr>
          <w:t>3</w:t>
        </w:r>
        <w:r>
          <w:fldChar w:fldCharType="end"/>
        </w:r>
      </w:p>
    </w:sdtContent>
  </w:sdt>
  <w:p w14:paraId="5552700D">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65555302"/>
    </w:sdtPr>
    <w:sdtContent>
      <w:p w14:paraId="1070213B">
        <w:pPr>
          <w:pStyle w:val="4"/>
          <w:jc w:val="center"/>
        </w:pPr>
        <w:r>
          <w:fldChar w:fldCharType="begin"/>
        </w:r>
        <w:r>
          <w:instrText xml:space="preserve">PAGE   \* MERGEFORMAT</w:instrText>
        </w:r>
        <w:r>
          <w:fldChar w:fldCharType="separate"/>
        </w:r>
        <w:r>
          <w:rPr>
            <w:lang w:val="zh-CN"/>
          </w:rPr>
          <w:t>12</w:t>
        </w:r>
        <w:r>
          <w:fldChar w:fldCharType="end"/>
        </w:r>
      </w:p>
    </w:sdtContent>
  </w:sdt>
  <w:p w14:paraId="38B79AB8">
    <w:pPr>
      <w:pStyle w:val="4"/>
    </w:pPr>
  </w:p>
  <w:p w14:paraId="76B746DA"/>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A0924C"/>
    <w:multiLevelType w:val="singleLevel"/>
    <w:tmpl w:val="D2A0924C"/>
    <w:lvl w:ilvl="0" w:tentative="0">
      <w:start w:val="1"/>
      <w:numFmt w:val="chineseCounting"/>
      <w:suff w:val="nothing"/>
      <w:lvlText w:val="（%1）"/>
      <w:lvlJc w:val="left"/>
      <w:rPr>
        <w:rFonts w:hint="eastAsia"/>
      </w:rPr>
    </w:lvl>
  </w:abstractNum>
  <w:abstractNum w:abstractNumId="1">
    <w:nsid w:val="0A3A0B48"/>
    <w:multiLevelType w:val="multilevel"/>
    <w:tmpl w:val="0A3A0B48"/>
    <w:lvl w:ilvl="0" w:tentative="0">
      <w:start w:val="3"/>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894E6AC"/>
    <w:multiLevelType w:val="singleLevel"/>
    <w:tmpl w:val="1894E6AC"/>
    <w:lvl w:ilvl="0" w:tentative="0">
      <w:start w:val="1"/>
      <w:numFmt w:val="chineseCounting"/>
      <w:suff w:val="nothing"/>
      <w:lvlText w:val="%1、"/>
      <w:lvlJc w:val="left"/>
      <w:rPr>
        <w:rFonts w:hint="eastAsia"/>
      </w:rPr>
    </w:lvl>
  </w:abstractNum>
  <w:abstractNum w:abstractNumId="3">
    <w:nsid w:val="2FCC72FD"/>
    <w:multiLevelType w:val="singleLevel"/>
    <w:tmpl w:val="2FCC72FD"/>
    <w:lvl w:ilvl="0" w:tentative="0">
      <w:start w:val="1"/>
      <w:numFmt w:val="chineseCounting"/>
      <w:suff w:val="nothing"/>
      <w:lvlText w:val="（%1）"/>
      <w:lvlJc w:val="left"/>
      <w:rPr>
        <w:rFonts w:hint="eastAsia"/>
      </w:rPr>
    </w:lvl>
  </w:abstractNum>
  <w:abstractNum w:abstractNumId="4">
    <w:nsid w:val="39BC32E2"/>
    <w:multiLevelType w:val="multilevel"/>
    <w:tmpl w:val="39BC32E2"/>
    <w:lvl w:ilvl="0" w:tentative="0">
      <w:start w:val="7"/>
      <w:numFmt w:val="japaneseCounting"/>
      <w:lvlText w:val="（%1）"/>
      <w:lvlJc w:val="left"/>
      <w:pPr>
        <w:ind w:left="840" w:hanging="8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D00EB9"/>
    <w:multiLevelType w:val="multilevel"/>
    <w:tmpl w:val="3AD00EB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43C04FB8"/>
    <w:multiLevelType w:val="singleLevel"/>
    <w:tmpl w:val="43C04FB8"/>
    <w:lvl w:ilvl="0" w:tentative="0">
      <w:start w:val="1"/>
      <w:numFmt w:val="chineseCounting"/>
      <w:suff w:val="nothing"/>
      <w:lvlText w:val="（%1）"/>
      <w:lvlJc w:val="left"/>
      <w:rPr>
        <w:rFonts w:hint="eastAsia"/>
      </w:rPr>
    </w:lvl>
  </w:abstractNum>
  <w:abstractNum w:abstractNumId="7">
    <w:nsid w:val="57594830"/>
    <w:multiLevelType w:val="multilevel"/>
    <w:tmpl w:val="57594830"/>
    <w:lvl w:ilvl="0" w:tentative="0">
      <w:start w:val="8"/>
      <w:numFmt w:val="japaneseCounting"/>
      <w:lvlText w:val="%1、"/>
      <w:lvlJc w:val="left"/>
      <w:pPr>
        <w:ind w:left="720" w:hanging="720"/>
      </w:pPr>
      <w:rPr>
        <w:rFonts w:hint="default" w:ascii="Calibri" w:hAnsi="Calibri" w:eastAsia="宋体"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E1A2ADA"/>
    <w:multiLevelType w:val="singleLevel"/>
    <w:tmpl w:val="6E1A2ADA"/>
    <w:lvl w:ilvl="0" w:tentative="0">
      <w:start w:val="1"/>
      <w:numFmt w:val="chineseCounting"/>
      <w:suff w:val="nothing"/>
      <w:lvlText w:val="（%1）"/>
      <w:lvlJc w:val="left"/>
      <w:rPr>
        <w:rFonts w:hint="eastAsia"/>
      </w:rPr>
    </w:lvl>
  </w:abstractNum>
  <w:num w:numId="1">
    <w:abstractNumId w:val="2"/>
  </w:num>
  <w:num w:numId="2">
    <w:abstractNumId w:val="0"/>
  </w:num>
  <w:num w:numId="3">
    <w:abstractNumId w:val="8"/>
  </w:num>
  <w:num w:numId="4">
    <w:abstractNumId w:val="1"/>
  </w:num>
  <w:num w:numId="5">
    <w:abstractNumId w:val="6"/>
  </w:num>
  <w:num w:numId="6">
    <w:abstractNumId w:val="5"/>
  </w:num>
  <w:num w:numId="7">
    <w:abstractNumId w:val="3"/>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OxsLS0sDQ3MrQwNzJS0lEKTi0uzszPAykwrAUAUnO3niwAAAA="/>
    <w:docVar w:name="commondata" w:val="eyJoZGlkIjoiNTdhMjdhYWVhZmEwY2I4YzZkODcyMzU1YjY2NzcwODMifQ=="/>
  </w:docVars>
  <w:rsids>
    <w:rsidRoot w:val="6BEC51E6"/>
    <w:rsid w:val="000077A3"/>
    <w:rsid w:val="00021F1F"/>
    <w:rsid w:val="00047E05"/>
    <w:rsid w:val="0005048D"/>
    <w:rsid w:val="00061782"/>
    <w:rsid w:val="000741F6"/>
    <w:rsid w:val="00081F66"/>
    <w:rsid w:val="000A3B00"/>
    <w:rsid w:val="000B5535"/>
    <w:rsid w:val="000C0257"/>
    <w:rsid w:val="000C0A80"/>
    <w:rsid w:val="000D2F94"/>
    <w:rsid w:val="000D3D0B"/>
    <w:rsid w:val="00102C38"/>
    <w:rsid w:val="00116888"/>
    <w:rsid w:val="001457F9"/>
    <w:rsid w:val="0015182C"/>
    <w:rsid w:val="001554F6"/>
    <w:rsid w:val="0016167A"/>
    <w:rsid w:val="001735B3"/>
    <w:rsid w:val="0017572B"/>
    <w:rsid w:val="001A3B5B"/>
    <w:rsid w:val="001A7044"/>
    <w:rsid w:val="001B7488"/>
    <w:rsid w:val="001C7446"/>
    <w:rsid w:val="001D0440"/>
    <w:rsid w:val="001D45D2"/>
    <w:rsid w:val="001D67FB"/>
    <w:rsid w:val="00221393"/>
    <w:rsid w:val="00223B48"/>
    <w:rsid w:val="00236027"/>
    <w:rsid w:val="0025104D"/>
    <w:rsid w:val="00256C06"/>
    <w:rsid w:val="00272F4D"/>
    <w:rsid w:val="00293A77"/>
    <w:rsid w:val="002A682E"/>
    <w:rsid w:val="002C4444"/>
    <w:rsid w:val="00301CED"/>
    <w:rsid w:val="00340053"/>
    <w:rsid w:val="0034140C"/>
    <w:rsid w:val="0035152D"/>
    <w:rsid w:val="003516CE"/>
    <w:rsid w:val="00372BAA"/>
    <w:rsid w:val="00376E5D"/>
    <w:rsid w:val="003821BA"/>
    <w:rsid w:val="003A2792"/>
    <w:rsid w:val="003A6C1A"/>
    <w:rsid w:val="003B4B27"/>
    <w:rsid w:val="003B5494"/>
    <w:rsid w:val="003C4892"/>
    <w:rsid w:val="003C6FD8"/>
    <w:rsid w:val="003D0B5D"/>
    <w:rsid w:val="004270B1"/>
    <w:rsid w:val="00434ED2"/>
    <w:rsid w:val="00444BC1"/>
    <w:rsid w:val="00455ACD"/>
    <w:rsid w:val="004A7A5F"/>
    <w:rsid w:val="004B2AC0"/>
    <w:rsid w:val="004B4A5C"/>
    <w:rsid w:val="004E4DE1"/>
    <w:rsid w:val="004F0E99"/>
    <w:rsid w:val="0050204F"/>
    <w:rsid w:val="005058D7"/>
    <w:rsid w:val="005538E6"/>
    <w:rsid w:val="00554516"/>
    <w:rsid w:val="00564452"/>
    <w:rsid w:val="00585411"/>
    <w:rsid w:val="005913FC"/>
    <w:rsid w:val="0059552F"/>
    <w:rsid w:val="005C71D2"/>
    <w:rsid w:val="005D144E"/>
    <w:rsid w:val="005F5462"/>
    <w:rsid w:val="00613472"/>
    <w:rsid w:val="00624262"/>
    <w:rsid w:val="00643D5E"/>
    <w:rsid w:val="0065409F"/>
    <w:rsid w:val="00666C04"/>
    <w:rsid w:val="00675CFD"/>
    <w:rsid w:val="00683382"/>
    <w:rsid w:val="00685E06"/>
    <w:rsid w:val="006A367C"/>
    <w:rsid w:val="006B6D22"/>
    <w:rsid w:val="006C2221"/>
    <w:rsid w:val="006C311B"/>
    <w:rsid w:val="006C3EE3"/>
    <w:rsid w:val="006D7EAF"/>
    <w:rsid w:val="0071303B"/>
    <w:rsid w:val="007212D0"/>
    <w:rsid w:val="00725389"/>
    <w:rsid w:val="007261B5"/>
    <w:rsid w:val="00726BF5"/>
    <w:rsid w:val="00736FE7"/>
    <w:rsid w:val="00737189"/>
    <w:rsid w:val="0074189E"/>
    <w:rsid w:val="00747CA2"/>
    <w:rsid w:val="007568B2"/>
    <w:rsid w:val="00756DC9"/>
    <w:rsid w:val="0076261F"/>
    <w:rsid w:val="0078143A"/>
    <w:rsid w:val="00781DD2"/>
    <w:rsid w:val="007A7DBB"/>
    <w:rsid w:val="007B0462"/>
    <w:rsid w:val="007E0543"/>
    <w:rsid w:val="007F089A"/>
    <w:rsid w:val="00820711"/>
    <w:rsid w:val="00822BC2"/>
    <w:rsid w:val="0086542E"/>
    <w:rsid w:val="00874328"/>
    <w:rsid w:val="00881DA2"/>
    <w:rsid w:val="00892F5F"/>
    <w:rsid w:val="00894A15"/>
    <w:rsid w:val="008A02D9"/>
    <w:rsid w:val="008A0FA5"/>
    <w:rsid w:val="008B6AC8"/>
    <w:rsid w:val="008F348F"/>
    <w:rsid w:val="009145B4"/>
    <w:rsid w:val="00921C72"/>
    <w:rsid w:val="00921E87"/>
    <w:rsid w:val="009354BD"/>
    <w:rsid w:val="00943D2A"/>
    <w:rsid w:val="00946ADE"/>
    <w:rsid w:val="009928A9"/>
    <w:rsid w:val="009B7746"/>
    <w:rsid w:val="009C200F"/>
    <w:rsid w:val="00A0207F"/>
    <w:rsid w:val="00A12558"/>
    <w:rsid w:val="00A239A6"/>
    <w:rsid w:val="00A33328"/>
    <w:rsid w:val="00A54264"/>
    <w:rsid w:val="00A710DB"/>
    <w:rsid w:val="00A92706"/>
    <w:rsid w:val="00A92B75"/>
    <w:rsid w:val="00AB24AD"/>
    <w:rsid w:val="00AC1C58"/>
    <w:rsid w:val="00AC32E6"/>
    <w:rsid w:val="00AC4587"/>
    <w:rsid w:val="00AC4913"/>
    <w:rsid w:val="00AC5002"/>
    <w:rsid w:val="00AC7459"/>
    <w:rsid w:val="00AE3872"/>
    <w:rsid w:val="00B05A2C"/>
    <w:rsid w:val="00B14183"/>
    <w:rsid w:val="00B41942"/>
    <w:rsid w:val="00B72341"/>
    <w:rsid w:val="00B737F4"/>
    <w:rsid w:val="00B83EC0"/>
    <w:rsid w:val="00BB3165"/>
    <w:rsid w:val="00BB43AB"/>
    <w:rsid w:val="00BB7C53"/>
    <w:rsid w:val="00BC30DA"/>
    <w:rsid w:val="00BF7B67"/>
    <w:rsid w:val="00C03CCC"/>
    <w:rsid w:val="00C07333"/>
    <w:rsid w:val="00C27D3B"/>
    <w:rsid w:val="00C35A69"/>
    <w:rsid w:val="00C55E87"/>
    <w:rsid w:val="00C7419B"/>
    <w:rsid w:val="00C85FF0"/>
    <w:rsid w:val="00CA4E04"/>
    <w:rsid w:val="00CB385C"/>
    <w:rsid w:val="00CF04E8"/>
    <w:rsid w:val="00CF0C46"/>
    <w:rsid w:val="00CF6092"/>
    <w:rsid w:val="00D0124C"/>
    <w:rsid w:val="00D0558D"/>
    <w:rsid w:val="00D07199"/>
    <w:rsid w:val="00D1017D"/>
    <w:rsid w:val="00D320D0"/>
    <w:rsid w:val="00D365F0"/>
    <w:rsid w:val="00D43692"/>
    <w:rsid w:val="00D478E5"/>
    <w:rsid w:val="00D5341E"/>
    <w:rsid w:val="00DA0950"/>
    <w:rsid w:val="00E12420"/>
    <w:rsid w:val="00E20E9D"/>
    <w:rsid w:val="00E26015"/>
    <w:rsid w:val="00E54CDA"/>
    <w:rsid w:val="00E85127"/>
    <w:rsid w:val="00EA13D4"/>
    <w:rsid w:val="00EA1452"/>
    <w:rsid w:val="00EA2E05"/>
    <w:rsid w:val="00EB3E97"/>
    <w:rsid w:val="00EE0B05"/>
    <w:rsid w:val="00EE1FBD"/>
    <w:rsid w:val="00EF7027"/>
    <w:rsid w:val="00EF77F5"/>
    <w:rsid w:val="00F24B6C"/>
    <w:rsid w:val="00F461F4"/>
    <w:rsid w:val="00F47A4A"/>
    <w:rsid w:val="00F50445"/>
    <w:rsid w:val="00F523F4"/>
    <w:rsid w:val="00F55427"/>
    <w:rsid w:val="00FA5E5F"/>
    <w:rsid w:val="00FD145C"/>
    <w:rsid w:val="00FF2350"/>
    <w:rsid w:val="00FF4E22"/>
    <w:rsid w:val="00FF6003"/>
    <w:rsid w:val="0330712B"/>
    <w:rsid w:val="03376277"/>
    <w:rsid w:val="08720C62"/>
    <w:rsid w:val="08997427"/>
    <w:rsid w:val="08C70D37"/>
    <w:rsid w:val="11E605CE"/>
    <w:rsid w:val="13914897"/>
    <w:rsid w:val="169F3CA1"/>
    <w:rsid w:val="170B0429"/>
    <w:rsid w:val="18890B1D"/>
    <w:rsid w:val="1B157361"/>
    <w:rsid w:val="1BBB5CE3"/>
    <w:rsid w:val="1F0357D9"/>
    <w:rsid w:val="24215C18"/>
    <w:rsid w:val="260F79D6"/>
    <w:rsid w:val="27EA65CA"/>
    <w:rsid w:val="29AE76C7"/>
    <w:rsid w:val="2E76495E"/>
    <w:rsid w:val="35CE1B2D"/>
    <w:rsid w:val="3AC3717D"/>
    <w:rsid w:val="3ADE363A"/>
    <w:rsid w:val="3D6E02CF"/>
    <w:rsid w:val="3DF02037"/>
    <w:rsid w:val="41DB4F23"/>
    <w:rsid w:val="49DE368B"/>
    <w:rsid w:val="4DD272BF"/>
    <w:rsid w:val="53E56F27"/>
    <w:rsid w:val="54934241"/>
    <w:rsid w:val="549F0422"/>
    <w:rsid w:val="5B1F6C57"/>
    <w:rsid w:val="5D03725E"/>
    <w:rsid w:val="5E845DF2"/>
    <w:rsid w:val="60FB15A4"/>
    <w:rsid w:val="63C54A54"/>
    <w:rsid w:val="659F08F8"/>
    <w:rsid w:val="662B526F"/>
    <w:rsid w:val="6730025C"/>
    <w:rsid w:val="6A9B3E9D"/>
    <w:rsid w:val="6BEC51E6"/>
    <w:rsid w:val="70604970"/>
    <w:rsid w:val="73025D8D"/>
    <w:rsid w:val="73B72E39"/>
    <w:rsid w:val="7E2B13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autoRedefine/>
    <w:qFormat/>
    <w:uiPriority w:val="0"/>
    <w:pPr>
      <w:jc w:val="left"/>
    </w:pPr>
  </w:style>
  <w:style w:type="paragraph" w:styleId="3">
    <w:name w:val="Balloon Text"/>
    <w:basedOn w:val="1"/>
    <w:link w:val="13"/>
    <w:autoRedefine/>
    <w:qFormat/>
    <w:uiPriority w:val="0"/>
    <w:rPr>
      <w:sz w:val="18"/>
      <w:szCs w:val="18"/>
    </w:rPr>
  </w:style>
  <w:style w:type="paragraph" w:styleId="4">
    <w:name w:val="footer"/>
    <w:basedOn w:val="1"/>
    <w:link w:val="12"/>
    <w:autoRedefine/>
    <w:qFormat/>
    <w:uiPriority w:val="99"/>
    <w:pPr>
      <w:tabs>
        <w:tab w:val="center" w:pos="4153"/>
        <w:tab w:val="right" w:pos="8306"/>
      </w:tabs>
      <w:snapToGrid w:val="0"/>
      <w:jc w:val="left"/>
    </w:pPr>
    <w:rPr>
      <w:sz w:val="18"/>
      <w:szCs w:val="18"/>
    </w:rPr>
  </w:style>
  <w:style w:type="paragraph" w:styleId="5">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autoRedefine/>
    <w:qFormat/>
    <w:uiPriority w:val="0"/>
    <w:rPr>
      <w:b/>
      <w:bCs/>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autoRedefine/>
    <w:qFormat/>
    <w:uiPriority w:val="0"/>
    <w:rPr>
      <w:sz w:val="21"/>
      <w:szCs w:val="21"/>
    </w:rPr>
  </w:style>
  <w:style w:type="character" w:customStyle="1" w:styleId="11">
    <w:name w:val="页眉 字符"/>
    <w:basedOn w:val="9"/>
    <w:link w:val="5"/>
    <w:autoRedefine/>
    <w:qFormat/>
    <w:uiPriority w:val="0"/>
    <w:rPr>
      <w:rFonts w:asciiTheme="minorHAnsi" w:hAnsiTheme="minorHAnsi" w:eastAsiaTheme="minorEastAsia" w:cstheme="minorBidi"/>
      <w:kern w:val="2"/>
      <w:sz w:val="18"/>
      <w:szCs w:val="18"/>
    </w:rPr>
  </w:style>
  <w:style w:type="character" w:customStyle="1" w:styleId="12">
    <w:name w:val="页脚 字符"/>
    <w:basedOn w:val="9"/>
    <w:link w:val="4"/>
    <w:autoRedefine/>
    <w:qFormat/>
    <w:uiPriority w:val="99"/>
    <w:rPr>
      <w:rFonts w:asciiTheme="minorHAnsi" w:hAnsiTheme="minorHAnsi" w:eastAsiaTheme="minorEastAsia" w:cstheme="minorBidi"/>
      <w:kern w:val="2"/>
      <w:sz w:val="18"/>
      <w:szCs w:val="18"/>
    </w:rPr>
  </w:style>
  <w:style w:type="character" w:customStyle="1" w:styleId="13">
    <w:name w:val="批注框文本 字符"/>
    <w:basedOn w:val="9"/>
    <w:link w:val="3"/>
    <w:autoRedefine/>
    <w:qFormat/>
    <w:uiPriority w:val="0"/>
    <w:rPr>
      <w:rFonts w:asciiTheme="minorHAnsi" w:hAnsiTheme="minorHAnsi" w:eastAsiaTheme="minorEastAsia" w:cstheme="minorBidi"/>
      <w:kern w:val="2"/>
      <w:sz w:val="18"/>
      <w:szCs w:val="18"/>
    </w:rPr>
  </w:style>
  <w:style w:type="paragraph" w:styleId="14">
    <w:name w:val="List Paragraph"/>
    <w:basedOn w:val="1"/>
    <w:autoRedefine/>
    <w:qFormat/>
    <w:uiPriority w:val="99"/>
    <w:pPr>
      <w:ind w:firstLine="420" w:firstLineChars="200"/>
    </w:pPr>
  </w:style>
  <w:style w:type="character" w:customStyle="1" w:styleId="15">
    <w:name w:val="批注文字 字符"/>
    <w:basedOn w:val="9"/>
    <w:link w:val="2"/>
    <w:autoRedefine/>
    <w:qFormat/>
    <w:uiPriority w:val="0"/>
    <w:rPr>
      <w:rFonts w:asciiTheme="minorHAnsi" w:hAnsiTheme="minorHAnsi" w:eastAsiaTheme="minorEastAsia" w:cstheme="minorBidi"/>
      <w:kern w:val="2"/>
      <w:sz w:val="21"/>
      <w:szCs w:val="24"/>
    </w:rPr>
  </w:style>
  <w:style w:type="character" w:customStyle="1" w:styleId="16">
    <w:name w:val="批注主题 字符"/>
    <w:basedOn w:val="15"/>
    <w:link w:val="6"/>
    <w:autoRedefine/>
    <w:qFormat/>
    <w:uiPriority w:val="0"/>
    <w:rPr>
      <w:rFonts w:asciiTheme="minorHAnsi" w:hAnsiTheme="minorHAnsi" w:eastAsiaTheme="minorEastAsia" w:cstheme="minorBidi"/>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14</Pages>
  <Words>5197</Words>
  <Characters>5287</Characters>
  <Lines>40</Lines>
  <Paragraphs>11</Paragraphs>
  <TotalTime>232</TotalTime>
  <ScaleCrop>false</ScaleCrop>
  <LinksUpToDate>false</LinksUpToDate>
  <CharactersWithSpaces>5340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2021-06-09T07:34:00Z</dcterms:created>
  <dc:creator>Jessica</dc:creator>
  <cp:lastModifiedBy>ZJ</cp:lastModifiedBy>
  <cp:lastPrinted>2024-06-20T08:16:00Z</cp:lastPrinted>
  <dcterms:modified xsi:type="dcterms:W3CDTF">2026-04-08T07:03:06Z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EAEDCB5409C044DA92A2E672A3B0052F</vt:lpwstr>
  </property>
  <property fmtid="{D5CDD505-2E9C-101B-9397-08002B2CF9AE}" pid="4" name="KSOTemplateDocerSaveRecord">
    <vt:lpwstr>eyJoZGlkIjoiZmNkZDg0ZjNmZWQwZWFiODFjYzgyNWU1YTllNWRkN2EiLCJ1c2VySWQiOiIzNzA5MjQ1NTEifQ==</vt:lpwstr>
  </property>
</Properties>
</file>