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7FDFE">
      <w:pPr>
        <w:jc w:val="center"/>
        <w:rPr>
          <w:sz w:val="48"/>
          <w:szCs w:val="56"/>
        </w:rPr>
      </w:pPr>
    </w:p>
    <w:p w14:paraId="339B90E8">
      <w:pPr>
        <w:jc w:val="center"/>
        <w:rPr>
          <w:sz w:val="48"/>
          <w:szCs w:val="56"/>
        </w:rPr>
      </w:pPr>
    </w:p>
    <w:p w14:paraId="576A6766">
      <w:pPr>
        <w:jc w:val="center"/>
        <w:rPr>
          <w:rFonts w:ascii="黑体" w:hAnsi="黑体" w:eastAsia="黑体" w:cs="黑体"/>
          <w:b/>
          <w:bCs/>
          <w:sz w:val="62"/>
          <w:szCs w:val="62"/>
        </w:rPr>
      </w:pPr>
      <w:r>
        <w:rPr>
          <w:rFonts w:hint="eastAsia" w:ascii="黑体" w:hAnsi="黑体" w:eastAsia="黑体" w:cs="黑体"/>
          <w:b/>
          <w:bCs/>
          <w:sz w:val="62"/>
          <w:szCs w:val="62"/>
        </w:rPr>
        <w:t>专业学位研究生</w:t>
      </w:r>
    </w:p>
    <w:p w14:paraId="3A587F57">
      <w:pPr>
        <w:jc w:val="center"/>
        <w:rPr>
          <w:rFonts w:ascii="黑体" w:hAnsi="黑体" w:eastAsia="黑体" w:cs="黑体"/>
          <w:b/>
          <w:bCs/>
          <w:sz w:val="62"/>
          <w:szCs w:val="62"/>
        </w:rPr>
      </w:pPr>
      <w:r>
        <w:rPr>
          <w:rFonts w:hint="eastAsia" w:ascii="黑体" w:hAnsi="黑体" w:eastAsia="黑体" w:cs="黑体"/>
          <w:b/>
          <w:bCs/>
          <w:sz w:val="62"/>
          <w:szCs w:val="62"/>
        </w:rPr>
        <w:t>实践模块和培养环节实施细则</w:t>
      </w:r>
    </w:p>
    <w:p w14:paraId="3645AF2B">
      <w:pPr>
        <w:jc w:val="center"/>
        <w:rPr>
          <w:b/>
          <w:bCs/>
          <w:sz w:val="52"/>
          <w:szCs w:val="72"/>
        </w:rPr>
      </w:pPr>
    </w:p>
    <w:p w14:paraId="5587037D">
      <w:pPr>
        <w:jc w:val="center"/>
        <w:rPr>
          <w:sz w:val="48"/>
          <w:szCs w:val="56"/>
        </w:rPr>
      </w:pPr>
    </w:p>
    <w:p w14:paraId="0510E898">
      <w:pPr>
        <w:jc w:val="center"/>
        <w:rPr>
          <w:sz w:val="48"/>
          <w:szCs w:val="56"/>
        </w:rPr>
      </w:pPr>
    </w:p>
    <w:p w14:paraId="58E3E87E">
      <w:pPr>
        <w:jc w:val="center"/>
        <w:rPr>
          <w:sz w:val="48"/>
          <w:szCs w:val="56"/>
        </w:rPr>
      </w:pPr>
    </w:p>
    <w:p w14:paraId="091A76CB">
      <w:pPr>
        <w:jc w:val="center"/>
        <w:rPr>
          <w:sz w:val="48"/>
          <w:szCs w:val="56"/>
        </w:rPr>
      </w:pPr>
    </w:p>
    <w:p w14:paraId="0A65464F">
      <w:pPr>
        <w:jc w:val="center"/>
        <w:rPr>
          <w:sz w:val="48"/>
          <w:szCs w:val="56"/>
        </w:rPr>
      </w:pPr>
    </w:p>
    <w:p w14:paraId="77B122FA">
      <w:pPr>
        <w:jc w:val="center"/>
        <w:rPr>
          <w:sz w:val="48"/>
          <w:szCs w:val="56"/>
        </w:rPr>
      </w:pPr>
    </w:p>
    <w:p w14:paraId="69486B3E">
      <w:pPr>
        <w:jc w:val="center"/>
        <w:rPr>
          <w:sz w:val="48"/>
          <w:szCs w:val="56"/>
        </w:rPr>
      </w:pPr>
    </w:p>
    <w:p w14:paraId="3B7F5EE8">
      <w:pPr>
        <w:ind w:firstLine="565" w:firstLineChars="157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专业学位类别（领域）：</w:t>
      </w:r>
      <w:r>
        <w:rPr>
          <w:rFonts w:hint="eastAsia"/>
          <w:sz w:val="36"/>
          <w:szCs w:val="44"/>
          <w:u w:val="single"/>
        </w:rPr>
        <w:t xml:space="preserve"> 资源与环境（地质工程）</w:t>
      </w:r>
    </w:p>
    <w:p w14:paraId="24F5610F">
      <w:pPr>
        <w:ind w:firstLine="565" w:firstLineChars="157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类别 （领域） 代码：</w:t>
      </w:r>
      <w:r>
        <w:rPr>
          <w:rFonts w:hint="eastAsia"/>
          <w:sz w:val="36"/>
          <w:szCs w:val="44"/>
          <w:u w:val="single"/>
        </w:rPr>
        <w:t xml:space="preserve"> </w:t>
      </w:r>
      <w:r>
        <w:rPr>
          <w:sz w:val="36"/>
          <w:szCs w:val="44"/>
          <w:u w:val="single"/>
        </w:rPr>
        <w:t xml:space="preserve">  </w:t>
      </w:r>
      <w:r>
        <w:rPr>
          <w:rFonts w:hint="eastAsia"/>
          <w:sz w:val="36"/>
          <w:szCs w:val="44"/>
          <w:u w:val="single"/>
        </w:rPr>
        <w:t>0857（</w:t>
      </w:r>
      <w:r>
        <w:rPr>
          <w:sz w:val="36"/>
          <w:szCs w:val="44"/>
          <w:u w:val="single"/>
        </w:rPr>
        <w:t>08570</w:t>
      </w:r>
      <w:r>
        <w:rPr>
          <w:rFonts w:hint="eastAsia"/>
          <w:sz w:val="36"/>
          <w:szCs w:val="44"/>
          <w:u w:val="single"/>
        </w:rPr>
        <w:t>3）</w:t>
      </w:r>
      <w:r>
        <w:rPr>
          <w:sz w:val="36"/>
          <w:szCs w:val="44"/>
          <w:u w:val="single"/>
        </w:rPr>
        <w:t xml:space="preserve">         </w:t>
      </w:r>
      <w:r>
        <w:rPr>
          <w:rFonts w:hint="eastAsia"/>
          <w:sz w:val="36"/>
          <w:szCs w:val="44"/>
          <w:u w:val="single"/>
        </w:rPr>
        <w:t xml:space="preserve">     </w:t>
      </w:r>
    </w:p>
    <w:p w14:paraId="4ABF9929">
      <w:pPr>
        <w:ind w:firstLine="565" w:firstLineChars="157"/>
        <w:rPr>
          <w:sz w:val="36"/>
          <w:szCs w:val="44"/>
        </w:rPr>
      </w:pPr>
      <w:r>
        <w:rPr>
          <w:rFonts w:hint="eastAsia"/>
          <w:sz w:val="36"/>
          <w:szCs w:val="44"/>
        </w:rPr>
        <w:t>授   权    级   别：</w:t>
      </w:r>
      <w:r>
        <w:rPr>
          <w:rFonts w:hint="eastAsia"/>
          <w:sz w:val="36"/>
          <w:szCs w:val="44"/>
          <w:u w:val="single"/>
        </w:rPr>
        <w:t xml:space="preserve">       硕士 </w:t>
      </w:r>
      <w:r>
        <w:rPr>
          <w:sz w:val="36"/>
          <w:szCs w:val="44"/>
          <w:u w:val="single"/>
        </w:rPr>
        <w:t xml:space="preserve">    </w:t>
      </w:r>
      <w:r>
        <w:rPr>
          <w:rFonts w:hint="eastAsia"/>
          <w:sz w:val="36"/>
          <w:szCs w:val="44"/>
          <w:u w:val="single"/>
        </w:rPr>
        <w:t xml:space="preserve">           </w:t>
      </w:r>
    </w:p>
    <w:p w14:paraId="1212D802">
      <w:pPr>
        <w:ind w:firstLine="565" w:firstLineChars="157"/>
        <w:rPr>
          <w:sz w:val="36"/>
          <w:szCs w:val="44"/>
        </w:rPr>
      </w:pPr>
      <w:r>
        <w:rPr>
          <w:rFonts w:hint="eastAsia"/>
          <w:sz w:val="36"/>
          <w:szCs w:val="44"/>
        </w:rPr>
        <w:t>制   定    日   期：</w:t>
      </w:r>
      <w:r>
        <w:rPr>
          <w:rFonts w:hint="eastAsia"/>
          <w:sz w:val="36"/>
          <w:szCs w:val="44"/>
          <w:u w:val="single"/>
        </w:rPr>
        <w:t xml:space="preserve">   </w:t>
      </w:r>
      <w:r>
        <w:rPr>
          <w:sz w:val="36"/>
          <w:szCs w:val="44"/>
          <w:u w:val="single"/>
        </w:rPr>
        <w:t>2024</w:t>
      </w:r>
      <w:r>
        <w:rPr>
          <w:rFonts w:hint="eastAsia"/>
          <w:sz w:val="36"/>
          <w:szCs w:val="44"/>
          <w:u w:val="single"/>
        </w:rPr>
        <w:t>年</w:t>
      </w:r>
      <w:r>
        <w:rPr>
          <w:sz w:val="36"/>
          <w:szCs w:val="44"/>
          <w:u w:val="single"/>
        </w:rPr>
        <w:t>4</w:t>
      </w:r>
      <w:r>
        <w:rPr>
          <w:rFonts w:hint="eastAsia"/>
          <w:sz w:val="36"/>
          <w:szCs w:val="44"/>
          <w:u w:val="single"/>
        </w:rPr>
        <w:t xml:space="preserve">月         </w:t>
      </w:r>
      <w:r>
        <w:rPr>
          <w:sz w:val="36"/>
          <w:szCs w:val="44"/>
          <w:u w:val="single"/>
        </w:rPr>
        <w:t xml:space="preserve"> </w:t>
      </w:r>
    </w:p>
    <w:p w14:paraId="38227E7D">
      <w:pPr>
        <w:ind w:firstLine="1800" w:firstLineChars="500"/>
        <w:rPr>
          <w:sz w:val="36"/>
          <w:szCs w:val="44"/>
        </w:rPr>
      </w:pPr>
    </w:p>
    <w:p w14:paraId="75B7B8A4">
      <w:pPr>
        <w:ind w:firstLine="1800" w:firstLineChars="500"/>
        <w:rPr>
          <w:sz w:val="36"/>
          <w:szCs w:val="44"/>
        </w:rPr>
      </w:pPr>
      <w:r>
        <w:rPr>
          <w:rFonts w:hint="eastAsia"/>
          <w:sz w:val="36"/>
          <w:szCs w:val="44"/>
        </w:rPr>
        <w:t>学位评定分委员会主席签字：</w:t>
      </w:r>
    </w:p>
    <w:p w14:paraId="3BA0C809">
      <w:pPr>
        <w:ind w:firstLine="1800" w:firstLineChars="500"/>
        <w:rPr>
          <w:sz w:val="36"/>
          <w:szCs w:val="44"/>
        </w:rPr>
      </w:pPr>
      <w:r>
        <w:rPr>
          <w:rFonts w:hint="eastAsia"/>
          <w:sz w:val="36"/>
          <w:szCs w:val="44"/>
        </w:rPr>
        <w:t>学院（中心）章：</w:t>
      </w:r>
    </w:p>
    <w:p w14:paraId="3B98B4E4">
      <w:pPr>
        <w:rPr>
          <w:sz w:val="36"/>
          <w:szCs w:val="44"/>
        </w:rPr>
      </w:pPr>
    </w:p>
    <w:p w14:paraId="29D7B9EB">
      <w:pPr>
        <w:jc w:val="center"/>
        <w:rPr>
          <w:rFonts w:ascii="黑体" w:hAnsi="黑体" w:eastAsia="黑体" w:cs="黑体"/>
          <w:b/>
          <w:bCs/>
          <w:sz w:val="48"/>
          <w:szCs w:val="56"/>
        </w:rPr>
      </w:pPr>
      <w:r>
        <w:rPr>
          <w:rFonts w:hint="eastAsia" w:ascii="黑体" w:hAnsi="黑体" w:eastAsia="黑体" w:cs="黑体"/>
          <w:b/>
          <w:bCs/>
          <w:sz w:val="48"/>
          <w:szCs w:val="56"/>
        </w:rPr>
        <w:t>实践模块和培养环节目录</w:t>
      </w:r>
    </w:p>
    <w:p w14:paraId="602CF8E3">
      <w:pPr>
        <w:rPr>
          <w:sz w:val="48"/>
          <w:szCs w:val="56"/>
        </w:rPr>
      </w:pP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4038"/>
        <w:gridCol w:w="2693"/>
      </w:tblGrid>
      <w:tr w14:paraId="77055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9" w:type="pct"/>
            <w:vMerge w:val="restart"/>
            <w:vAlign w:val="center"/>
          </w:tcPr>
          <w:p w14:paraId="00A52A8F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bidi="ar"/>
              </w:rPr>
              <w:t>序号</w:t>
            </w:r>
          </w:p>
        </w:tc>
        <w:tc>
          <w:tcPr>
            <w:tcW w:w="2369" w:type="pct"/>
            <w:vAlign w:val="center"/>
          </w:tcPr>
          <w:p w14:paraId="792B33FC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bidi="ar"/>
              </w:rPr>
              <w:t>实践模块和培养环节</w:t>
            </w:r>
          </w:p>
        </w:tc>
        <w:tc>
          <w:tcPr>
            <w:tcW w:w="1580" w:type="pct"/>
            <w:vAlign w:val="center"/>
          </w:tcPr>
          <w:p w14:paraId="135B2710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bidi="ar"/>
              </w:rPr>
              <w:t>页码</w:t>
            </w:r>
          </w:p>
        </w:tc>
      </w:tr>
      <w:tr w14:paraId="546C7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9" w:type="pct"/>
            <w:vMerge w:val="continue"/>
            <w:vAlign w:val="center"/>
          </w:tcPr>
          <w:p w14:paraId="5F102127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  <w:lang w:bidi="ar"/>
              </w:rPr>
            </w:pPr>
          </w:p>
        </w:tc>
        <w:tc>
          <w:tcPr>
            <w:tcW w:w="2369" w:type="pct"/>
            <w:vAlign w:val="center"/>
          </w:tcPr>
          <w:p w14:paraId="10EF5BC6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lang w:bidi="ar"/>
              </w:rPr>
              <w:t>硕士</w:t>
            </w:r>
          </w:p>
        </w:tc>
        <w:tc>
          <w:tcPr>
            <w:tcW w:w="1580" w:type="pct"/>
            <w:vAlign w:val="center"/>
          </w:tcPr>
          <w:p w14:paraId="73C27076">
            <w:pPr>
              <w:jc w:val="center"/>
              <w:rPr>
                <w:rFonts w:ascii="黑体" w:hAnsi="黑体" w:eastAsia="黑体" w:cs="黑体"/>
                <w:b/>
                <w:bCs/>
                <w:sz w:val="28"/>
                <w:szCs w:val="28"/>
                <w:lang w:bidi="ar"/>
              </w:rPr>
            </w:pPr>
          </w:p>
        </w:tc>
      </w:tr>
      <w:tr w14:paraId="78F4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9" w:type="pct"/>
            <w:vAlign w:val="center"/>
          </w:tcPr>
          <w:p w14:paraId="709167AF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一</w:t>
            </w:r>
          </w:p>
        </w:tc>
        <w:tc>
          <w:tcPr>
            <w:tcW w:w="2369" w:type="pct"/>
            <w:vAlign w:val="center"/>
          </w:tcPr>
          <w:p w14:paraId="4F652139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实践训练（专业实践）</w:t>
            </w:r>
          </w:p>
        </w:tc>
        <w:tc>
          <w:tcPr>
            <w:tcW w:w="1580" w:type="pct"/>
            <w:vAlign w:val="center"/>
          </w:tcPr>
          <w:p w14:paraId="7F024E0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14:paraId="4E83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9" w:type="pct"/>
            <w:vAlign w:val="center"/>
          </w:tcPr>
          <w:p w14:paraId="2FC137E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二</w:t>
            </w:r>
          </w:p>
        </w:tc>
        <w:tc>
          <w:tcPr>
            <w:tcW w:w="2369" w:type="pct"/>
            <w:vAlign w:val="center"/>
          </w:tcPr>
          <w:p w14:paraId="68E38DA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开题审核</w:t>
            </w:r>
          </w:p>
        </w:tc>
        <w:tc>
          <w:tcPr>
            <w:tcW w:w="1580" w:type="pct"/>
            <w:vAlign w:val="center"/>
          </w:tcPr>
          <w:p w14:paraId="36419C7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14:paraId="720B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9" w:type="pct"/>
            <w:vAlign w:val="center"/>
          </w:tcPr>
          <w:p w14:paraId="15C12A5C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三</w:t>
            </w:r>
          </w:p>
        </w:tc>
        <w:tc>
          <w:tcPr>
            <w:tcW w:w="2369" w:type="pct"/>
            <w:vAlign w:val="center"/>
          </w:tcPr>
          <w:p w14:paraId="5846811A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学位论文答辩</w:t>
            </w:r>
          </w:p>
        </w:tc>
        <w:tc>
          <w:tcPr>
            <w:tcW w:w="1580" w:type="pct"/>
            <w:vAlign w:val="center"/>
          </w:tcPr>
          <w:p w14:paraId="6381535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</w:tr>
      <w:tr w14:paraId="12FC5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049" w:type="pct"/>
            <w:vAlign w:val="center"/>
          </w:tcPr>
          <w:p w14:paraId="3F0C58E4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附件1</w:t>
            </w:r>
            <w:r>
              <w:rPr>
                <w:rFonts w:ascii="Calibri" w:hAnsi="Calibri" w:eastAsia="宋体" w:cs="Times New Roman"/>
                <w:sz w:val="28"/>
                <w:szCs w:val="28"/>
                <w:lang w:bidi="ar"/>
              </w:rPr>
              <w:t>-</w:t>
            </w: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3</w:t>
            </w:r>
          </w:p>
        </w:tc>
        <w:tc>
          <w:tcPr>
            <w:tcW w:w="2369" w:type="pct"/>
            <w:vAlign w:val="center"/>
          </w:tcPr>
          <w:p w14:paraId="00E5B3D2">
            <w:pPr>
              <w:jc w:val="center"/>
              <w:rPr>
                <w:rFonts w:ascii="Calibri" w:hAnsi="Calibri" w:eastAsia="宋体" w:cs="Times New Roman"/>
                <w:sz w:val="28"/>
                <w:szCs w:val="28"/>
                <w:lang w:bidi="ar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bidi="ar"/>
              </w:rPr>
              <w:t>实践模块和培养</w:t>
            </w:r>
            <w:r>
              <w:rPr>
                <w:rFonts w:ascii="Calibri" w:hAnsi="Calibri" w:eastAsia="宋体" w:cs="Times New Roman"/>
                <w:sz w:val="28"/>
                <w:szCs w:val="28"/>
                <w:lang w:bidi="ar"/>
              </w:rPr>
              <w:t>环节表格</w:t>
            </w:r>
          </w:p>
        </w:tc>
        <w:tc>
          <w:tcPr>
            <w:tcW w:w="1580" w:type="pct"/>
            <w:vAlign w:val="center"/>
          </w:tcPr>
          <w:p w14:paraId="4656ACD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</w:tr>
    </w:tbl>
    <w:p w14:paraId="2FFBAD03">
      <w:pPr>
        <w:ind w:firstLine="1400" w:firstLineChars="500"/>
        <w:rPr>
          <w:sz w:val="28"/>
          <w:szCs w:val="28"/>
        </w:rPr>
      </w:pPr>
    </w:p>
    <w:p w14:paraId="3EA95F87">
      <w:pPr>
        <w:ind w:firstLine="1400" w:firstLineChars="500"/>
        <w:rPr>
          <w:sz w:val="28"/>
          <w:szCs w:val="28"/>
        </w:rPr>
      </w:pPr>
    </w:p>
    <w:p w14:paraId="679F0F28">
      <w:pPr>
        <w:ind w:firstLine="560" w:firstLineChars="200"/>
        <w:rPr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55C927F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资源与环境（地质工程）按照学校要求，结合本专业学位类别（领域）实际，制定本实施细则，现将具体事项规定如下：</w:t>
      </w:r>
    </w:p>
    <w:p w14:paraId="4446D664">
      <w:pPr>
        <w:jc w:val="left"/>
        <w:rPr>
          <w:b/>
          <w:bCs/>
          <w:sz w:val="28"/>
          <w:szCs w:val="28"/>
        </w:rPr>
      </w:pPr>
    </w:p>
    <w:p w14:paraId="50841991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一、实践训练（专业实践）</w:t>
      </w:r>
    </w:p>
    <w:p w14:paraId="5ED22688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（一）考核内容</w:t>
      </w:r>
    </w:p>
    <w:p w14:paraId="0310B9C2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学生在学校批准设立的专业学位研究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生联合培养基地或</w:t>
      </w:r>
      <w:r>
        <w:rPr>
          <w:rFonts w:hint="eastAsia"/>
          <w:sz w:val="28"/>
          <w:szCs w:val="28"/>
        </w:rPr>
        <w:t>与专业密切相关的大中型企事业单位进行专业实践。专业实践采用集中实践与分段实践相结合的方式，实践时间应不少于12个月。在联合培养基地或生产单位（企业）工作期间要提交工作日志（月报）。</w:t>
      </w:r>
    </w:p>
    <w:p w14:paraId="692B9CD4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（二）考核时间、方式</w:t>
      </w:r>
    </w:p>
    <w:p w14:paraId="5DCAEA7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考核时间：硕士三年级开学前。</w:t>
      </w:r>
    </w:p>
    <w:p w14:paraId="412187A7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核方式：学院组织校内（不少于3人）和企业（不少于2名）组成不少于5人的专家组（专家组总人数为奇数），学生制作PPT进行工作汇报，专家组对学生的工作报告进行考核，考核结果分为通过和不通过，考核通过者给予学分。考核不通过者需要根据专家意见进一步修改，三个月后组织第二次考核，考核通过者继续硕士阶段学习，考核不通过者予以退学。</w:t>
      </w:r>
    </w:p>
    <w:p w14:paraId="5E665BAB">
      <w:pPr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 w:ascii="Calibri" w:hAnsi="Calibri" w:eastAsia="宋体" w:cs="Times New Roman"/>
          <w:b/>
          <w:bCs/>
          <w:sz w:val="28"/>
          <w:szCs w:val="28"/>
          <w:lang w:bidi="ar"/>
        </w:rPr>
        <w:t>二、开题审核</w:t>
      </w:r>
    </w:p>
    <w:p w14:paraId="0D8DEE52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（一）考核内容</w:t>
      </w:r>
    </w:p>
    <w:p w14:paraId="0FDF9C4E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重点考查硕士生的开题报告、课程学分完成情况和思想政治等综合表现。</w:t>
      </w:r>
    </w:p>
    <w:p w14:paraId="2081D93C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（二）考核标准</w:t>
      </w:r>
    </w:p>
    <w:p w14:paraId="3C9626AE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开题审核采用评分制，满分值为100分，其中：</w:t>
      </w:r>
    </w:p>
    <w:p w14:paraId="5F6FCDBA">
      <w:pPr>
        <w:ind w:firstLine="565" w:firstLineChars="202"/>
        <w:jc w:val="left"/>
        <w:rPr>
          <w:rFonts w:cs="Times New Roman" w:asciiTheme="minorEastAsia" w:hAnsiTheme="minorEastAsia"/>
          <w:sz w:val="28"/>
          <w:szCs w:val="28"/>
          <w:lang w:bidi="ar"/>
        </w:rPr>
      </w:pPr>
      <w:r>
        <w:rPr>
          <w:rFonts w:hint="eastAsia" w:cs="Times New Roman" w:asciiTheme="minorEastAsia" w:hAnsiTheme="minorEastAsia"/>
          <w:sz w:val="28"/>
          <w:szCs w:val="28"/>
          <w:lang w:bidi="ar"/>
        </w:rPr>
        <w:t>（1）文献综述：</w:t>
      </w:r>
      <w:r>
        <w:rPr>
          <w:rFonts w:cs="Times New Roman" w:asciiTheme="minorEastAsia" w:hAnsiTheme="minorEastAsia"/>
          <w:sz w:val="28"/>
          <w:szCs w:val="28"/>
          <w:lang w:bidi="ar"/>
        </w:rPr>
        <w:t>2</w:t>
      </w:r>
      <w:r>
        <w:rPr>
          <w:rFonts w:hint="eastAsia" w:cs="Times New Roman" w:asciiTheme="minorEastAsia" w:hAnsiTheme="minorEastAsia"/>
          <w:sz w:val="28"/>
          <w:szCs w:val="28"/>
          <w:lang w:bidi="ar"/>
        </w:rPr>
        <w:t>0分</w:t>
      </w:r>
    </w:p>
    <w:p w14:paraId="42A72F52">
      <w:pPr>
        <w:ind w:firstLine="565" w:firstLineChars="202"/>
        <w:jc w:val="left"/>
        <w:rPr>
          <w:rFonts w:cs="Times New Roman" w:asciiTheme="minorEastAsia" w:hAnsiTheme="minorEastAsia"/>
          <w:sz w:val="28"/>
          <w:szCs w:val="28"/>
          <w:lang w:bidi="ar"/>
        </w:rPr>
      </w:pPr>
      <w:r>
        <w:rPr>
          <w:rFonts w:hint="eastAsia" w:cs="Times New Roman" w:asciiTheme="minorEastAsia" w:hAnsiTheme="minorEastAsia"/>
          <w:sz w:val="28"/>
          <w:szCs w:val="28"/>
          <w:lang w:bidi="ar"/>
        </w:rPr>
        <w:t>（2）选题背景及研究意义：</w:t>
      </w:r>
      <w:r>
        <w:rPr>
          <w:rFonts w:cs="Times New Roman" w:asciiTheme="minorEastAsia" w:hAnsiTheme="minorEastAsia"/>
          <w:sz w:val="28"/>
          <w:szCs w:val="28"/>
          <w:lang w:bidi="ar"/>
        </w:rPr>
        <w:t>2</w:t>
      </w:r>
      <w:r>
        <w:rPr>
          <w:rFonts w:hint="eastAsia" w:cs="Times New Roman" w:asciiTheme="minorEastAsia" w:hAnsiTheme="minorEastAsia"/>
          <w:sz w:val="28"/>
          <w:szCs w:val="28"/>
          <w:lang w:bidi="ar"/>
        </w:rPr>
        <w:t>0分</w:t>
      </w:r>
    </w:p>
    <w:p w14:paraId="36406EFC">
      <w:pPr>
        <w:ind w:firstLine="565" w:firstLineChars="202"/>
        <w:jc w:val="left"/>
        <w:rPr>
          <w:rFonts w:cs="Times New Roman" w:asciiTheme="minorEastAsia" w:hAnsiTheme="minorEastAsia"/>
          <w:sz w:val="28"/>
          <w:szCs w:val="28"/>
          <w:lang w:bidi="ar"/>
        </w:rPr>
      </w:pPr>
      <w:r>
        <w:rPr>
          <w:rFonts w:hint="eastAsia" w:cs="Times New Roman" w:asciiTheme="minorEastAsia" w:hAnsiTheme="minorEastAsia"/>
          <w:sz w:val="28"/>
          <w:szCs w:val="28"/>
          <w:lang w:bidi="ar"/>
        </w:rPr>
        <w:t>（3）研究内容：40分</w:t>
      </w:r>
    </w:p>
    <w:p w14:paraId="2873028B">
      <w:pPr>
        <w:ind w:firstLine="565" w:firstLineChars="202"/>
        <w:jc w:val="left"/>
        <w:rPr>
          <w:rFonts w:cs="Times New Roman" w:asciiTheme="minorEastAsia" w:hAnsiTheme="minorEastAsia"/>
          <w:sz w:val="28"/>
          <w:szCs w:val="28"/>
          <w:lang w:bidi="ar"/>
        </w:rPr>
      </w:pPr>
      <w:r>
        <w:rPr>
          <w:rFonts w:hint="eastAsia" w:cs="Times New Roman" w:asciiTheme="minorEastAsia" w:hAnsiTheme="minorEastAsia"/>
          <w:sz w:val="28"/>
          <w:szCs w:val="28"/>
          <w:lang w:bidi="ar"/>
        </w:rPr>
        <w:t>（4）预期成果：</w:t>
      </w:r>
      <w:r>
        <w:rPr>
          <w:rFonts w:cs="Times New Roman" w:asciiTheme="minorEastAsia" w:hAnsiTheme="minorEastAsia"/>
          <w:sz w:val="28"/>
          <w:szCs w:val="28"/>
          <w:lang w:bidi="ar"/>
        </w:rPr>
        <w:t>2</w:t>
      </w:r>
      <w:r>
        <w:rPr>
          <w:rFonts w:hint="eastAsia" w:cs="Times New Roman" w:asciiTheme="minorEastAsia" w:hAnsiTheme="minorEastAsia"/>
          <w:sz w:val="28"/>
          <w:szCs w:val="28"/>
          <w:lang w:bidi="ar"/>
        </w:rPr>
        <w:t>0分</w:t>
      </w:r>
    </w:p>
    <w:p w14:paraId="795444C8">
      <w:pPr>
        <w:ind w:firstLine="565" w:firstLineChars="202"/>
        <w:jc w:val="left"/>
        <w:rPr>
          <w:rFonts w:cs="Times New Roman" w:asciiTheme="minorEastAsia" w:hAnsiTheme="minorEastAsia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考核标准分为通过、暂缓通过和不通过。学生成绩</w:t>
      </w:r>
      <w:r>
        <w:rPr>
          <w:rFonts w:hint="eastAsia" w:ascii="宋体" w:hAnsi="宋体" w:eastAsia="宋体" w:cs="Times New Roman"/>
          <w:sz w:val="28"/>
          <w:szCs w:val="28"/>
          <w:lang w:bidi="ar"/>
        </w:rPr>
        <w:t>≥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70分为通过。</w:t>
      </w:r>
    </w:p>
    <w:p w14:paraId="4087C97D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（三）考核时间</w:t>
      </w:r>
    </w:p>
    <w:p w14:paraId="0B3C8AFD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/>
          <w:sz w:val="28"/>
          <w:szCs w:val="28"/>
        </w:rPr>
        <w:t>硕士研究生开题审核安排在二年级第1学期进行，一般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在课程学习结束、学位论文撰写开始前进行。硕士开题报告和论文答辩时间间隔要求不少于一学年。</w:t>
      </w:r>
    </w:p>
    <w:p w14:paraId="382EAC9C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（四）考核方式</w:t>
      </w:r>
    </w:p>
    <w:p w14:paraId="6FE82606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由学院统一组织，学生采取公开答辩方式。</w:t>
      </w:r>
    </w:p>
    <w:p w14:paraId="521EC2B0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（五）考核程序</w:t>
      </w:r>
    </w:p>
    <w:p w14:paraId="2D3B3AF9">
      <w:pPr>
        <w:ind w:firstLine="560" w:firstLineChars="200"/>
        <w:jc w:val="left"/>
        <w:rPr>
          <w:rFonts w:ascii="Calibri" w:hAnsi="Calibri" w:eastAsia="宋体" w:cs="Times New Roman"/>
          <w:b w:val="0"/>
          <w:bCs w:val="0"/>
          <w:color w:val="auto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对硕士生学位论文开题报告进行评议，评议结果分为通过、暂缓通过或不通过，无法参加的硕士生作不通过处理。对于第一次开题审核评议暂缓通过者，可在三个月后申请重新开题审核或参加低年级开题审核；第一次开题审核评议不通过者，须参加低年级开题审核。硕士生两次开题审核仍未通过者，予以退学。开题审核通过后，若论文选题有重大修改，则</w:t>
      </w:r>
      <w:r>
        <w:rPr>
          <w:rFonts w:hint="eastAsia" w:ascii="Calibri" w:hAnsi="Calibri" w:eastAsia="宋体" w:cs="Times New Roman"/>
          <w:b w:val="0"/>
          <w:bCs w:val="0"/>
          <w:color w:val="auto"/>
          <w:sz w:val="28"/>
          <w:szCs w:val="28"/>
          <w:lang w:bidi="ar"/>
        </w:rPr>
        <w:t>应在规定时间内重新开题。开题审核材料由学院（中心）负责保管，存入硕士生档案。第一次开题审核通过的比例不高于</w:t>
      </w:r>
      <w:r>
        <w:rPr>
          <w:rFonts w:ascii="Calibri" w:hAnsi="Calibri" w:eastAsia="宋体" w:cs="Times New Roman"/>
          <w:b w:val="0"/>
          <w:bCs w:val="0"/>
          <w:color w:val="auto"/>
          <w:sz w:val="28"/>
          <w:szCs w:val="28"/>
          <w:lang w:bidi="ar"/>
        </w:rPr>
        <w:t>85%</w:t>
      </w:r>
      <w:r>
        <w:rPr>
          <w:rFonts w:hint="eastAsia" w:ascii="Calibri" w:hAnsi="Calibri" w:eastAsia="宋体" w:cs="Times New Roman"/>
          <w:b w:val="0"/>
          <w:bCs w:val="0"/>
          <w:color w:val="auto"/>
          <w:sz w:val="28"/>
          <w:szCs w:val="28"/>
          <w:lang w:bidi="ar"/>
        </w:rPr>
        <w:t>。</w:t>
      </w:r>
    </w:p>
    <w:p w14:paraId="41A99BDB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（六）考核人员组成</w:t>
      </w:r>
    </w:p>
    <w:p w14:paraId="5205E19B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5名具有</w:t>
      </w:r>
      <w:r>
        <w:rPr>
          <w:rFonts w:hint="eastAsia"/>
          <w:sz w:val="28"/>
          <w:szCs w:val="28"/>
        </w:rPr>
        <w:t>研究生指导教师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资格或高级职称的专业技术人员组成，其中校外专家不少于2人，导师全程参加。</w:t>
      </w:r>
    </w:p>
    <w:p w14:paraId="034BE7F3">
      <w:pPr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（七）学生申诉处理委员会组成及申诉、议事规则</w:t>
      </w:r>
    </w:p>
    <w:p w14:paraId="35F723F1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如对开题审核结果有异议，研究生应当在学院公示后的3个工作日内向学院学术委员会提出书面申诉。学院学术委员会应当对学生提出的申诉及时予以复查，并给予明确答复。研究生在规定时间内未提出申诉的，学院将不再受理其申诉。</w:t>
      </w:r>
    </w:p>
    <w:p w14:paraId="7B175929">
      <w:pPr>
        <w:jc w:val="left"/>
        <w:rPr>
          <w:b/>
          <w:bCs/>
          <w:sz w:val="28"/>
          <w:szCs w:val="28"/>
        </w:rPr>
      </w:pPr>
      <w:r>
        <w:rPr>
          <w:rFonts w:hint="eastAsia" w:ascii="Calibri" w:hAnsi="Calibri" w:eastAsia="宋体" w:cs="Times New Roman"/>
          <w:b/>
          <w:bCs/>
          <w:sz w:val="28"/>
          <w:szCs w:val="28"/>
          <w:lang w:bidi="ar"/>
        </w:rPr>
        <w:t>三、学位论文答辩</w:t>
      </w:r>
    </w:p>
    <w:p w14:paraId="730E3C31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（一）考核内容</w:t>
      </w:r>
    </w:p>
    <w:p w14:paraId="4EEF9762">
      <w:pPr>
        <w:ind w:firstLine="560" w:firstLineChars="200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研究的充分性、创新性以及学位论文写作的规范性等方面。</w:t>
      </w:r>
    </w:p>
    <w:p w14:paraId="171128A1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（二）考核标准</w:t>
      </w:r>
    </w:p>
    <w:p w14:paraId="22DB6D1E">
      <w:pPr>
        <w:ind w:firstLine="560" w:firstLineChars="200"/>
        <w:rPr>
          <w:rFonts w:ascii="MS Mincho" w:hAnsi="MS Mincho" w:eastAsia="宋体" w:cs="MS Mincho"/>
          <w:sz w:val="28"/>
          <w:szCs w:val="28"/>
        </w:rPr>
      </w:pPr>
      <w:r>
        <w:rPr>
          <w:rFonts w:hint="eastAsia" w:ascii="MS Mincho" w:hAnsi="MS Mincho" w:eastAsia="宋体" w:cs="MS Mincho"/>
          <w:sz w:val="28"/>
          <w:szCs w:val="28"/>
        </w:rPr>
        <w:t>按照</w:t>
      </w:r>
      <w:r>
        <w:rPr>
          <w:rFonts w:ascii="MS Mincho" w:hAnsi="MS Mincho" w:eastAsia="宋体" w:cs="MS Mincho"/>
          <w:sz w:val="28"/>
          <w:szCs w:val="28"/>
        </w:rPr>
        <w:t>本学科学位论文基本要求进行</w:t>
      </w:r>
      <w:r>
        <w:rPr>
          <w:rFonts w:hint="eastAsia" w:ascii="MS Mincho" w:hAnsi="MS Mincho" w:eastAsia="宋体" w:cs="MS Mincho"/>
          <w:sz w:val="28"/>
          <w:szCs w:val="28"/>
        </w:rPr>
        <w:t>考核</w:t>
      </w:r>
      <w:r>
        <w:rPr>
          <w:rFonts w:ascii="MS Mincho" w:hAnsi="MS Mincho" w:eastAsia="宋体" w:cs="MS Mincho"/>
          <w:sz w:val="28"/>
          <w:szCs w:val="28"/>
        </w:rPr>
        <w:t>。</w:t>
      </w:r>
    </w:p>
    <w:p w14:paraId="32EA76BC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（三）考核时间</w:t>
      </w:r>
    </w:p>
    <w:p w14:paraId="4F81DC31">
      <w:pPr>
        <w:ind w:firstLine="560" w:firstLineChars="200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硕士学位论文答辩应在第一次开题审核通过</w:t>
      </w:r>
      <w:r>
        <w:rPr>
          <w:rFonts w:ascii="Calibri" w:hAnsi="Calibri" w:eastAsia="宋体" w:cs="Times New Roman"/>
          <w:sz w:val="28"/>
          <w:szCs w:val="28"/>
          <w:lang w:bidi="ar"/>
        </w:rPr>
        <w:t>1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年后进行。</w:t>
      </w:r>
    </w:p>
    <w:p w14:paraId="1A025547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（四）考核方式</w:t>
      </w:r>
    </w:p>
    <w:p w14:paraId="5DBB41F1">
      <w:pPr>
        <w:ind w:firstLine="560" w:firstLineChars="200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学生采用PPT汇报方式开展答辩。</w:t>
      </w:r>
    </w:p>
    <w:p w14:paraId="12D5C5BB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（五）考核程序</w:t>
      </w:r>
    </w:p>
    <w:p w14:paraId="22689731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ascii="Calibri" w:hAnsi="Calibri" w:eastAsia="宋体" w:cs="Times New Roman"/>
          <w:sz w:val="28"/>
          <w:szCs w:val="28"/>
          <w:lang w:bidi="ar"/>
        </w:rPr>
        <w:t>1.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导师介绍学生学习情况、选题背景及论文送审得到的反馈建议；</w:t>
      </w:r>
    </w:p>
    <w:p w14:paraId="6F222CCA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ascii="Calibri" w:hAnsi="Calibri" w:eastAsia="宋体" w:cs="Times New Roman"/>
          <w:sz w:val="28"/>
          <w:szCs w:val="28"/>
          <w:lang w:bidi="ar"/>
        </w:rPr>
        <w:t>2.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学生进行论文汇报，原则上应使用</w:t>
      </w:r>
      <w:r>
        <w:rPr>
          <w:rFonts w:ascii="Calibri" w:hAnsi="Calibri" w:eastAsia="宋体" w:cs="Times New Roman"/>
          <w:sz w:val="28"/>
          <w:szCs w:val="28"/>
          <w:lang w:bidi="ar"/>
        </w:rPr>
        <w:t>PPT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，用时不少于</w:t>
      </w:r>
      <w:r>
        <w:rPr>
          <w:rFonts w:ascii="Calibri" w:hAnsi="Calibri" w:eastAsia="宋体" w:cs="Times New Roman"/>
          <w:sz w:val="28"/>
          <w:szCs w:val="28"/>
          <w:lang w:bidi="ar"/>
        </w:rPr>
        <w:t>15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分钟；</w:t>
      </w:r>
    </w:p>
    <w:p w14:paraId="4503143E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ascii="Calibri" w:hAnsi="Calibri" w:eastAsia="宋体" w:cs="Times New Roman"/>
          <w:sz w:val="28"/>
          <w:szCs w:val="28"/>
          <w:lang w:bidi="ar"/>
        </w:rPr>
        <w:t>3.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由答辩专家委员会成员逐一提出问题或建议，由专家委员会确定学生准备回答的时间以及回答问题的形式；</w:t>
      </w:r>
    </w:p>
    <w:p w14:paraId="220030C5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ascii="Calibri" w:hAnsi="Calibri" w:eastAsia="宋体" w:cs="Times New Roman"/>
          <w:sz w:val="28"/>
          <w:szCs w:val="28"/>
          <w:lang w:bidi="ar"/>
        </w:rPr>
        <w:t>4.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在全部学生答辩结束后，答辩委员会应根据研究生学位论文及答辩情况，在充分讨论和认真审议的基础上进行表决，表决后再讨论学生具体论文等级，并形成答辩决议；</w:t>
      </w:r>
    </w:p>
    <w:p w14:paraId="501302F0">
      <w:pPr>
        <w:ind w:firstLine="560" w:firstLineChars="200"/>
        <w:jc w:val="left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ascii="Calibri" w:hAnsi="Calibri" w:eastAsia="宋体" w:cs="Times New Roman"/>
          <w:sz w:val="28"/>
          <w:szCs w:val="28"/>
          <w:lang w:bidi="ar"/>
        </w:rPr>
        <w:t>5.</w:t>
      </w:r>
      <w:r>
        <w:rPr>
          <w:rFonts w:hint="eastAsia" w:ascii="Calibri" w:hAnsi="Calibri" w:eastAsia="宋体" w:cs="Times New Roman"/>
          <w:sz w:val="28"/>
          <w:szCs w:val="28"/>
          <w:lang w:bidi="ar"/>
        </w:rPr>
        <w:t>论文等级为合格即答辩委员会意见为“通过但需做重大修改的”，由答辩委员会指定一名委员为复审负责人，学生应当提交修改稿及修改说明，由复审负责人进行审议。复审负责人不在修改说明上签字的，该学生申请毕业的申请不得提交院学位评定分委员会审议。</w:t>
      </w:r>
    </w:p>
    <w:p w14:paraId="0DCD6F95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（六）考核人员组成</w:t>
      </w:r>
    </w:p>
    <w:p w14:paraId="4FCAD11A">
      <w:pPr>
        <w:ind w:firstLine="560" w:firstLineChars="200"/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学位论文答辩委员会一般由不少于5名副教授（或相当职称）及以上或硕士生导师组成，其中校外专家不少于2人，组成人员须经学院（中心）学位评定分委员会审核。未经审核，不得进行论文答辩。指导教师可列席答辩，但不作为答辩委员会成员，且在讨论表决、形成决议时应离席回避导师全程回避。</w:t>
      </w:r>
    </w:p>
    <w:p w14:paraId="1EFF012D">
      <w:pPr>
        <w:rPr>
          <w:rFonts w:ascii="Calibri" w:hAnsi="Calibri" w:eastAsia="宋体" w:cs="Times New Roman"/>
          <w:sz w:val="28"/>
          <w:szCs w:val="28"/>
          <w:lang w:bidi="ar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（七）学生申诉处理委员会组成及申诉、议事规则</w:t>
      </w:r>
    </w:p>
    <w:p w14:paraId="1178911B">
      <w:pPr>
        <w:ind w:firstLine="560" w:firstLineChars="200"/>
        <w:rPr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  <w:lang w:bidi="ar"/>
        </w:rPr>
        <w:t>如对答辩结果有异议，研究生应当在学院公示后的3个工作日内向学院学术委员会提出书面申诉。学院学术委员会应当对学生提出的申诉及时予以复查，并给予明确答复。研究生在规定时间内未提出申诉的，学院将不再受理其申诉。</w:t>
      </w:r>
      <w:bookmarkStart w:id="0" w:name="_GoBack"/>
      <w:bookmarkEnd w:id="0"/>
    </w:p>
    <w:sectPr>
      <w:footerReference r:id="rId4" w:type="default"/>
      <w:type w:val="continuous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̥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3979287"/>
    </w:sdtPr>
    <w:sdtContent>
      <w:p w14:paraId="62997C10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4E7AF22B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4588663"/>
      <w:showingPlcHdr/>
    </w:sdtPr>
    <w:sdtContent>
      <w:p w14:paraId="35E106B6">
        <w:pPr>
          <w:pStyle w:val="4"/>
          <w:jc w:val="center"/>
        </w:pPr>
        <w:r>
          <w:t xml:space="preserve">     </w:t>
        </w:r>
      </w:p>
    </w:sdtContent>
  </w:sdt>
  <w:p w14:paraId="75046968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NWQwYThiMGI1YThiZTI2YTA5OGFhNGEyYTI4MWMifQ=="/>
  </w:docVars>
  <w:rsids>
    <w:rsidRoot w:val="6BEC51E6"/>
    <w:rsid w:val="00037E05"/>
    <w:rsid w:val="000A4149"/>
    <w:rsid w:val="000B4831"/>
    <w:rsid w:val="000E0A2A"/>
    <w:rsid w:val="001210E9"/>
    <w:rsid w:val="001431CF"/>
    <w:rsid w:val="0019140D"/>
    <w:rsid w:val="001C7766"/>
    <w:rsid w:val="001D0440"/>
    <w:rsid w:val="001F1BD0"/>
    <w:rsid w:val="0023603D"/>
    <w:rsid w:val="0025104D"/>
    <w:rsid w:val="00252EEE"/>
    <w:rsid w:val="00256BAD"/>
    <w:rsid w:val="00264CFD"/>
    <w:rsid w:val="00272A6A"/>
    <w:rsid w:val="002A0C6C"/>
    <w:rsid w:val="00352B41"/>
    <w:rsid w:val="0036774F"/>
    <w:rsid w:val="00397929"/>
    <w:rsid w:val="003B07EE"/>
    <w:rsid w:val="003B5494"/>
    <w:rsid w:val="003C4892"/>
    <w:rsid w:val="003E2036"/>
    <w:rsid w:val="003E54FE"/>
    <w:rsid w:val="003F1255"/>
    <w:rsid w:val="00403FF8"/>
    <w:rsid w:val="004131DA"/>
    <w:rsid w:val="00450957"/>
    <w:rsid w:val="004B400C"/>
    <w:rsid w:val="004F53C1"/>
    <w:rsid w:val="00531FD6"/>
    <w:rsid w:val="005557D1"/>
    <w:rsid w:val="005E4146"/>
    <w:rsid w:val="00603285"/>
    <w:rsid w:val="006333BF"/>
    <w:rsid w:val="006427AA"/>
    <w:rsid w:val="00660524"/>
    <w:rsid w:val="00680076"/>
    <w:rsid w:val="006814FE"/>
    <w:rsid w:val="00690FB1"/>
    <w:rsid w:val="006A5937"/>
    <w:rsid w:val="006C3429"/>
    <w:rsid w:val="006C3B37"/>
    <w:rsid w:val="006C7683"/>
    <w:rsid w:val="006D68F1"/>
    <w:rsid w:val="006F13AD"/>
    <w:rsid w:val="007230E4"/>
    <w:rsid w:val="007568B2"/>
    <w:rsid w:val="00797AC9"/>
    <w:rsid w:val="007A57EF"/>
    <w:rsid w:val="007D4C14"/>
    <w:rsid w:val="0080431E"/>
    <w:rsid w:val="0081779A"/>
    <w:rsid w:val="0082224B"/>
    <w:rsid w:val="00827760"/>
    <w:rsid w:val="0086485D"/>
    <w:rsid w:val="00873EA5"/>
    <w:rsid w:val="00881DA2"/>
    <w:rsid w:val="00883A0D"/>
    <w:rsid w:val="00893AFD"/>
    <w:rsid w:val="008B1C4F"/>
    <w:rsid w:val="008E53E3"/>
    <w:rsid w:val="008F348F"/>
    <w:rsid w:val="009002F7"/>
    <w:rsid w:val="009055F1"/>
    <w:rsid w:val="0096534F"/>
    <w:rsid w:val="009D046F"/>
    <w:rsid w:val="009D2B5E"/>
    <w:rsid w:val="009D3B16"/>
    <w:rsid w:val="00A233FC"/>
    <w:rsid w:val="00A234A7"/>
    <w:rsid w:val="00A23944"/>
    <w:rsid w:val="00A33793"/>
    <w:rsid w:val="00A3393C"/>
    <w:rsid w:val="00AB24AD"/>
    <w:rsid w:val="00AC2283"/>
    <w:rsid w:val="00AD2445"/>
    <w:rsid w:val="00AE24A4"/>
    <w:rsid w:val="00B242CA"/>
    <w:rsid w:val="00B4443C"/>
    <w:rsid w:val="00B72C78"/>
    <w:rsid w:val="00B83EC0"/>
    <w:rsid w:val="00BE1BCC"/>
    <w:rsid w:val="00BE70CA"/>
    <w:rsid w:val="00C023C4"/>
    <w:rsid w:val="00C1417E"/>
    <w:rsid w:val="00C85FF0"/>
    <w:rsid w:val="00CB2343"/>
    <w:rsid w:val="00D0558D"/>
    <w:rsid w:val="00D17296"/>
    <w:rsid w:val="00D738AA"/>
    <w:rsid w:val="00D83A1B"/>
    <w:rsid w:val="00D97D3F"/>
    <w:rsid w:val="00DA5F91"/>
    <w:rsid w:val="00DF6CFF"/>
    <w:rsid w:val="00E07D3A"/>
    <w:rsid w:val="00E309CD"/>
    <w:rsid w:val="00E43132"/>
    <w:rsid w:val="00E50377"/>
    <w:rsid w:val="00E976F5"/>
    <w:rsid w:val="00EF77F5"/>
    <w:rsid w:val="00F02A3E"/>
    <w:rsid w:val="00F27C4F"/>
    <w:rsid w:val="00F45C18"/>
    <w:rsid w:val="00F9248C"/>
    <w:rsid w:val="00FB6DCF"/>
    <w:rsid w:val="00FF367C"/>
    <w:rsid w:val="00FF6003"/>
    <w:rsid w:val="02807592"/>
    <w:rsid w:val="06933AC2"/>
    <w:rsid w:val="08D315FC"/>
    <w:rsid w:val="0AD55EAC"/>
    <w:rsid w:val="0ADE4D48"/>
    <w:rsid w:val="0B0920CF"/>
    <w:rsid w:val="0B29590C"/>
    <w:rsid w:val="0B66576D"/>
    <w:rsid w:val="0C8D6BDC"/>
    <w:rsid w:val="0EC2607D"/>
    <w:rsid w:val="0F07744A"/>
    <w:rsid w:val="0F145807"/>
    <w:rsid w:val="0F633064"/>
    <w:rsid w:val="0F765C67"/>
    <w:rsid w:val="12676086"/>
    <w:rsid w:val="141F569C"/>
    <w:rsid w:val="170B0429"/>
    <w:rsid w:val="1D9F6F0B"/>
    <w:rsid w:val="1F0C7867"/>
    <w:rsid w:val="20191D44"/>
    <w:rsid w:val="2064241D"/>
    <w:rsid w:val="210B33C9"/>
    <w:rsid w:val="22EF45AF"/>
    <w:rsid w:val="22FA684E"/>
    <w:rsid w:val="271A4862"/>
    <w:rsid w:val="28F23D74"/>
    <w:rsid w:val="29950DB3"/>
    <w:rsid w:val="2A464B87"/>
    <w:rsid w:val="2A767405"/>
    <w:rsid w:val="2BAD3FB8"/>
    <w:rsid w:val="2C0E3884"/>
    <w:rsid w:val="2E4D329F"/>
    <w:rsid w:val="312561D3"/>
    <w:rsid w:val="333965F6"/>
    <w:rsid w:val="33CA6760"/>
    <w:rsid w:val="36F27132"/>
    <w:rsid w:val="3BAC6A31"/>
    <w:rsid w:val="3CAA473A"/>
    <w:rsid w:val="3D512794"/>
    <w:rsid w:val="3E7C76A8"/>
    <w:rsid w:val="3E87638C"/>
    <w:rsid w:val="3F1C7F01"/>
    <w:rsid w:val="40283239"/>
    <w:rsid w:val="40D639A5"/>
    <w:rsid w:val="41B424D2"/>
    <w:rsid w:val="44966707"/>
    <w:rsid w:val="45127CAB"/>
    <w:rsid w:val="45B76D86"/>
    <w:rsid w:val="494541AC"/>
    <w:rsid w:val="4A3A2C72"/>
    <w:rsid w:val="4AD40FA3"/>
    <w:rsid w:val="4D4D220D"/>
    <w:rsid w:val="503D2BDE"/>
    <w:rsid w:val="51A237A6"/>
    <w:rsid w:val="53123621"/>
    <w:rsid w:val="540E4DDF"/>
    <w:rsid w:val="54807A10"/>
    <w:rsid w:val="554B0F65"/>
    <w:rsid w:val="55EB71AD"/>
    <w:rsid w:val="56B51D70"/>
    <w:rsid w:val="58BB1C6A"/>
    <w:rsid w:val="596E1900"/>
    <w:rsid w:val="5C761673"/>
    <w:rsid w:val="614E4037"/>
    <w:rsid w:val="63AD044C"/>
    <w:rsid w:val="644843C2"/>
    <w:rsid w:val="6570486F"/>
    <w:rsid w:val="673E32E4"/>
    <w:rsid w:val="68536CAB"/>
    <w:rsid w:val="68572DF1"/>
    <w:rsid w:val="6A9C4AD6"/>
    <w:rsid w:val="6BEC51E6"/>
    <w:rsid w:val="6D890246"/>
    <w:rsid w:val="6E021DCD"/>
    <w:rsid w:val="71405E60"/>
    <w:rsid w:val="72F903CC"/>
    <w:rsid w:val="73134DC9"/>
    <w:rsid w:val="7458078D"/>
    <w:rsid w:val="77AB4B96"/>
    <w:rsid w:val="788E1B1B"/>
    <w:rsid w:val="78A470BF"/>
    <w:rsid w:val="791C4858"/>
    <w:rsid w:val="7A665B72"/>
    <w:rsid w:val="7ACE4A7B"/>
    <w:rsid w:val="7B3F2748"/>
    <w:rsid w:val="7B5639F3"/>
    <w:rsid w:val="7D31000E"/>
    <w:rsid w:val="7DC04855"/>
    <w:rsid w:val="7EF4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框文本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批注文字 字符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6">
    <w:name w:val="批注主题 字符"/>
    <w:basedOn w:val="15"/>
    <w:link w:val="6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9E7E6-1170-424A-B2BF-D1B0AAA9CD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3813</Words>
  <Characters>3981</Characters>
  <Lines>45</Lines>
  <Paragraphs>12</Paragraphs>
  <TotalTime>23</TotalTime>
  <ScaleCrop>false</ScaleCrop>
  <LinksUpToDate>false</LinksUpToDate>
  <CharactersWithSpaces>5420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2021-03-17T09:31:00Z</dcterms:created>
  <dc:creator>Jessica</dc:creator>
  <cp:lastModifiedBy>ZJ</cp:lastModifiedBy>
  <dcterms:modified xsi:type="dcterms:W3CDTF">2026-04-08T06:58:40Z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2C6A2C7EB4994E1EB5873D86F4D41133</vt:lpwstr>
  </property>
  <property fmtid="{D5CDD505-2E9C-101B-9397-08002B2CF9AE}" pid="4" name="KSOTemplateDocerSaveRecord">
    <vt:lpwstr>eyJoZGlkIjoiZmNkZDg0ZjNmZWQwZWFiODFjYzgyNWU1YTllNWRkN2EiLCJ1c2VySWQiOiIzNzA5MjQ1NTEifQ==</vt:lpwstr>
  </property>
</Properties>
</file>