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outlineLvl w:val="0"/>
        <w:rPr>
          <w:rFonts w:ascii="Times New Roman" w:eastAsia="黑体"/>
          <w:bCs/>
        </w:rPr>
      </w:pPr>
      <w:bookmarkStart w:id="0" w:name="_Toc408298774"/>
      <w:r>
        <w:rPr>
          <w:rFonts w:hint="eastAsia" w:ascii="Times New Roman" w:eastAsia="黑体"/>
          <w:bCs/>
        </w:rPr>
        <w:t>附件5-1</w:t>
      </w:r>
    </w:p>
    <w:p>
      <w:pPr>
        <w:spacing w:line="500" w:lineRule="exact"/>
        <w:jc w:val="center"/>
        <w:outlineLvl w:val="0"/>
        <w:rPr>
          <w:rFonts w:ascii="Times New Roman" w:eastAsia="方正小标宋简体"/>
          <w:bCs/>
          <w:sz w:val="44"/>
          <w:szCs w:val="44"/>
          <w:u w:val="single"/>
        </w:rPr>
      </w:pPr>
      <w:r>
        <w:rPr>
          <w:rStyle w:val="12"/>
          <w:rFonts w:hint="eastAsia" w:ascii="方正小标宋简体" w:eastAsia="方正小标宋简体"/>
          <w:b w:val="0"/>
          <w:u w:val="single"/>
        </w:rPr>
        <w:t>资源与环境</w:t>
      </w:r>
      <w:r>
        <w:rPr>
          <w:rFonts w:hint="eastAsia" w:ascii="Times New Roman" w:eastAsia="方正小标宋简体"/>
          <w:bCs/>
          <w:sz w:val="44"/>
          <w:szCs w:val="44"/>
        </w:rPr>
        <w:t>专业学位</w:t>
      </w:r>
    </w:p>
    <w:p>
      <w:pPr>
        <w:spacing w:line="500" w:lineRule="exact"/>
        <w:jc w:val="center"/>
        <w:outlineLvl w:val="0"/>
        <w:rPr>
          <w:rFonts w:ascii="Times New Roman" w:eastAsia="方正小标宋简体"/>
          <w:bCs/>
          <w:sz w:val="44"/>
          <w:szCs w:val="44"/>
        </w:rPr>
      </w:pPr>
      <w:r>
        <w:rPr>
          <w:rFonts w:hint="eastAsia" w:ascii="Times New Roman" w:eastAsia="方正小标宋简体"/>
          <w:bCs/>
          <w:sz w:val="44"/>
          <w:szCs w:val="44"/>
        </w:rPr>
        <w:t>研究生培养方案</w:t>
      </w:r>
      <w:bookmarkEnd w:id="0"/>
      <w:r>
        <w:rPr>
          <w:rFonts w:hint="eastAsia" w:ascii="Times New Roman" w:eastAsia="方正小标宋简体"/>
          <w:bCs/>
          <w:sz w:val="44"/>
          <w:szCs w:val="44"/>
        </w:rPr>
        <w:t>和学位授予标准</w:t>
      </w:r>
    </w:p>
    <w:p>
      <w:pPr>
        <w:spacing w:line="300" w:lineRule="exact"/>
        <w:jc w:val="center"/>
        <w:outlineLvl w:val="0"/>
        <w:rPr>
          <w:rFonts w:ascii="Times New Roman" w:eastAsia="方正小标宋简体"/>
          <w:bCs/>
          <w:sz w:val="44"/>
          <w:szCs w:val="44"/>
        </w:rPr>
      </w:pPr>
    </w:p>
    <w:tbl>
      <w:tblPr>
        <w:tblStyle w:val="9"/>
        <w:tblW w:w="1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989"/>
        <w:gridCol w:w="52"/>
        <w:gridCol w:w="722"/>
        <w:gridCol w:w="1963"/>
        <w:gridCol w:w="1075"/>
        <w:gridCol w:w="780"/>
        <w:gridCol w:w="655"/>
        <w:gridCol w:w="45"/>
        <w:gridCol w:w="670"/>
        <w:gridCol w:w="730"/>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学院（中心）</w:t>
            </w:r>
          </w:p>
        </w:tc>
        <w:tc>
          <w:tcPr>
            <w:tcW w:w="3726" w:type="dxa"/>
            <w:gridSpan w:val="4"/>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环境科学与工程学院、海洋地球科学学院、化学化工学院、材料科学与工程学院</w:t>
            </w:r>
          </w:p>
        </w:tc>
        <w:tc>
          <w:tcPr>
            <w:tcW w:w="1855" w:type="dxa"/>
            <w:gridSpan w:val="2"/>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培养类别</w:t>
            </w:r>
          </w:p>
        </w:tc>
        <w:tc>
          <w:tcPr>
            <w:tcW w:w="3553" w:type="dxa"/>
            <w:gridSpan w:val="5"/>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sym w:font="Wingdings 2" w:char="00A3"/>
            </w:r>
            <w:r>
              <w:rPr>
                <w:rFonts w:hint="eastAsia" w:ascii="宋体" w:hAnsi="宋体" w:eastAsia="宋体" w:cs="宋体"/>
                <w:color w:val="auto"/>
                <w:spacing w:val="11"/>
                <w:kern w:val="0"/>
                <w:sz w:val="18"/>
                <w:szCs w:val="18"/>
                <w:highlight w:val="none"/>
              </w:rPr>
              <w:t xml:space="preserve">硕士 </w:t>
            </w:r>
            <w:r>
              <w:rPr>
                <w:rFonts w:hint="eastAsia" w:ascii="宋体" w:hAnsi="宋体" w:eastAsia="宋体" w:cs="宋体"/>
                <w:color w:val="auto"/>
                <w:spacing w:val="11"/>
                <w:kern w:val="0"/>
                <w:sz w:val="18"/>
                <w:szCs w:val="18"/>
                <w:highlight w:val="none"/>
              </w:rPr>
              <w:sym w:font="Wingdings 2" w:char="0052"/>
            </w:r>
            <w:r>
              <w:rPr>
                <w:rFonts w:hint="eastAsia" w:ascii="宋体" w:hAnsi="宋体" w:eastAsia="宋体" w:cs="宋体"/>
                <w:color w:val="auto"/>
                <w:spacing w:val="11"/>
                <w:kern w:val="0"/>
                <w:sz w:val="18"/>
                <w:szCs w:val="18"/>
                <w:highlight w:val="none"/>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专业学位类别</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（领域）名称</w:t>
            </w:r>
          </w:p>
        </w:tc>
        <w:tc>
          <w:tcPr>
            <w:tcW w:w="3726" w:type="dxa"/>
            <w:gridSpan w:val="4"/>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资源与环境</w:t>
            </w:r>
          </w:p>
        </w:tc>
        <w:tc>
          <w:tcPr>
            <w:tcW w:w="1855" w:type="dxa"/>
            <w:gridSpan w:val="2"/>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专业学位类别</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（领域）代码</w:t>
            </w:r>
          </w:p>
        </w:tc>
        <w:tc>
          <w:tcPr>
            <w:tcW w:w="3553" w:type="dxa"/>
            <w:gridSpan w:val="5"/>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0857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专业学位类别</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（领域）英文名称</w:t>
            </w:r>
          </w:p>
        </w:tc>
        <w:tc>
          <w:tcPr>
            <w:tcW w:w="3726" w:type="dxa"/>
            <w:gridSpan w:val="4"/>
            <w:vAlign w:val="center"/>
          </w:tcPr>
          <w:p>
            <w:pPr>
              <w:widowControl/>
              <w:spacing w:line="320" w:lineRule="exact"/>
              <w:jc w:val="center"/>
              <w:rPr>
                <w:rFonts w:ascii="宋体" w:hAnsi="宋体" w:eastAsia="宋体" w:cs="宋体"/>
                <w:strike/>
                <w:color w:val="auto"/>
                <w:spacing w:val="11"/>
                <w:kern w:val="0"/>
                <w:sz w:val="18"/>
                <w:szCs w:val="18"/>
                <w:highlight w:val="none"/>
              </w:rPr>
            </w:pPr>
            <w:r>
              <w:rPr>
                <w:rFonts w:hint="eastAsia" w:ascii="宋体" w:hAnsi="宋体" w:eastAsia="宋体" w:cs="宋体"/>
                <w:color w:val="auto"/>
                <w:spacing w:val="11"/>
                <w:kern w:val="0"/>
                <w:sz w:val="18"/>
                <w:szCs w:val="18"/>
                <w:highlight w:val="none"/>
              </w:rPr>
              <w:t>Resource</w:t>
            </w:r>
            <w:r>
              <w:rPr>
                <w:rFonts w:ascii="宋体" w:hAnsi="宋体" w:eastAsia="宋体" w:cs="宋体"/>
                <w:color w:val="auto"/>
                <w:spacing w:val="11"/>
                <w:kern w:val="0"/>
                <w:sz w:val="18"/>
                <w:szCs w:val="18"/>
                <w:highlight w:val="none"/>
              </w:rPr>
              <w:t xml:space="preserve"> </w:t>
            </w:r>
            <w:r>
              <w:rPr>
                <w:rFonts w:hint="eastAsia" w:ascii="宋体" w:hAnsi="宋体" w:eastAsia="宋体" w:cs="宋体"/>
                <w:color w:val="auto"/>
                <w:spacing w:val="11"/>
                <w:kern w:val="0"/>
                <w:sz w:val="18"/>
                <w:szCs w:val="18"/>
                <w:highlight w:val="none"/>
              </w:rPr>
              <w:t>and</w:t>
            </w:r>
            <w:r>
              <w:rPr>
                <w:rFonts w:ascii="宋体" w:hAnsi="宋体" w:eastAsia="宋体" w:cs="宋体"/>
                <w:color w:val="auto"/>
                <w:spacing w:val="11"/>
                <w:kern w:val="0"/>
                <w:sz w:val="18"/>
                <w:szCs w:val="18"/>
                <w:highlight w:val="none"/>
              </w:rPr>
              <w:t xml:space="preserve"> </w:t>
            </w:r>
            <w:r>
              <w:rPr>
                <w:rFonts w:hint="eastAsia" w:ascii="宋体" w:hAnsi="宋体" w:eastAsia="宋体" w:cs="宋体"/>
                <w:color w:val="auto"/>
                <w:spacing w:val="11"/>
                <w:kern w:val="0"/>
                <w:sz w:val="18"/>
                <w:szCs w:val="18"/>
                <w:highlight w:val="none"/>
              </w:rPr>
              <w:t>Environment</w:t>
            </w:r>
          </w:p>
        </w:tc>
        <w:tc>
          <w:tcPr>
            <w:tcW w:w="1855" w:type="dxa"/>
            <w:gridSpan w:val="2"/>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适用学生类型</w:t>
            </w:r>
          </w:p>
        </w:tc>
        <w:tc>
          <w:tcPr>
            <w:tcW w:w="3553" w:type="dxa"/>
            <w:gridSpan w:val="5"/>
            <w:vAlign w:val="center"/>
          </w:tcPr>
          <w:p>
            <w:pPr>
              <w:widowControl/>
              <w:spacing w:line="320" w:lineRule="exact"/>
              <w:jc w:val="center"/>
              <w:rPr>
                <w:rFonts w:ascii="宋体" w:hAnsi="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sym w:font="Wingdings 2" w:char="0052"/>
            </w:r>
            <w:r>
              <w:rPr>
                <w:rFonts w:hint="eastAsia" w:ascii="宋体" w:hAnsi="宋体" w:eastAsia="宋体" w:cs="宋体"/>
                <w:color w:val="auto"/>
                <w:spacing w:val="11"/>
                <w:kern w:val="0"/>
                <w:sz w:val="18"/>
                <w:szCs w:val="18"/>
                <w:highlight w:val="none"/>
              </w:rPr>
              <w:t xml:space="preserve">全日制  </w:t>
            </w:r>
            <w:r>
              <w:rPr>
                <w:rFonts w:hint="eastAsia" w:ascii="宋体" w:hAnsi="宋体" w:eastAsia="宋体" w:cs="宋体"/>
                <w:color w:val="auto"/>
                <w:spacing w:val="11"/>
                <w:kern w:val="0"/>
                <w:sz w:val="18"/>
                <w:szCs w:val="18"/>
                <w:highlight w:val="none"/>
              </w:rPr>
              <w:sym w:font="Wingdings 2" w:char="0052"/>
            </w:r>
            <w:r>
              <w:rPr>
                <w:rFonts w:hint="eastAsia" w:ascii="宋体" w:hAnsi="宋体" w:eastAsia="宋体" w:cs="宋体"/>
                <w:color w:val="auto"/>
                <w:spacing w:val="11"/>
                <w:kern w:val="0"/>
                <w:sz w:val="18"/>
                <w:szCs w:val="18"/>
                <w:highlight w:val="none"/>
              </w:rPr>
              <w:t>非全日制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适用年级</w:t>
            </w:r>
          </w:p>
        </w:tc>
        <w:tc>
          <w:tcPr>
            <w:tcW w:w="3726" w:type="dxa"/>
            <w:gridSpan w:val="4"/>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从</w:t>
            </w:r>
            <w:r>
              <w:rPr>
                <w:rFonts w:ascii="宋体" w:hAnsi="宋体" w:eastAsia="宋体" w:cs="宋体"/>
                <w:color w:val="auto"/>
                <w:spacing w:val="11"/>
                <w:kern w:val="0"/>
                <w:sz w:val="18"/>
                <w:szCs w:val="18"/>
                <w:highlight w:val="none"/>
                <w:u w:val="single"/>
              </w:rPr>
              <w:t xml:space="preserve"> 2022</w:t>
            </w:r>
            <w:r>
              <w:rPr>
                <w:rFonts w:hint="eastAsia" w:ascii="宋体" w:hAnsi="宋体" w:eastAsia="宋体" w:cs="宋体"/>
                <w:color w:val="auto"/>
                <w:spacing w:val="11"/>
                <w:kern w:val="0"/>
                <w:sz w:val="18"/>
                <w:szCs w:val="18"/>
                <w:highlight w:val="none"/>
              </w:rPr>
              <w:t>级开始</w:t>
            </w:r>
          </w:p>
        </w:tc>
        <w:tc>
          <w:tcPr>
            <w:tcW w:w="1855" w:type="dxa"/>
            <w:gridSpan w:val="2"/>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修订时间</w:t>
            </w:r>
          </w:p>
        </w:tc>
        <w:tc>
          <w:tcPr>
            <w:tcW w:w="3553" w:type="dxa"/>
            <w:gridSpan w:val="5"/>
            <w:vAlign w:val="center"/>
          </w:tcPr>
          <w:p>
            <w:pPr>
              <w:widowControl/>
              <w:spacing w:line="320" w:lineRule="exact"/>
              <w:jc w:val="center"/>
              <w:rPr>
                <w:rFonts w:ascii="宋体" w:hAnsi="宋体" w:eastAsia="宋体" w:cs="宋体"/>
                <w:color w:val="auto"/>
                <w:spacing w:val="11"/>
                <w:kern w:val="0"/>
                <w:sz w:val="18"/>
                <w:szCs w:val="18"/>
                <w:highlight w:val="none"/>
              </w:rPr>
            </w:pPr>
            <w:r>
              <w:rPr>
                <w:rFonts w:ascii="宋体" w:hAnsi="宋体" w:eastAsia="宋体" w:cs="宋体"/>
                <w:color w:val="auto"/>
                <w:spacing w:val="11"/>
                <w:kern w:val="0"/>
                <w:sz w:val="18"/>
                <w:szCs w:val="18"/>
                <w:highlight w:val="none"/>
                <w:u w:val="single"/>
              </w:rPr>
              <w:t xml:space="preserve"> 2022</w:t>
            </w:r>
            <w:r>
              <w:rPr>
                <w:rFonts w:hint="eastAsia" w:ascii="宋体" w:hAnsi="宋体" w:eastAsia="宋体" w:cs="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年</w:t>
            </w:r>
            <w:r>
              <w:rPr>
                <w:rFonts w:hint="eastAsia" w:ascii="宋体" w:hAnsi="宋体" w:eastAsia="宋体" w:cs="宋体"/>
                <w:color w:val="auto"/>
                <w:spacing w:val="11"/>
                <w:kern w:val="0"/>
                <w:sz w:val="18"/>
                <w:szCs w:val="18"/>
                <w:highlight w:val="none"/>
                <w:u w:val="single"/>
              </w:rPr>
              <w:t xml:space="preserve"> </w:t>
            </w:r>
            <w:r>
              <w:rPr>
                <w:rFonts w:ascii="宋体" w:hAnsi="宋体" w:eastAsia="宋体" w:cs="宋体"/>
                <w:color w:val="auto"/>
                <w:spacing w:val="11"/>
                <w:kern w:val="0"/>
                <w:sz w:val="18"/>
                <w:szCs w:val="18"/>
                <w:highlight w:val="none"/>
                <w:u w:val="single"/>
              </w:rPr>
              <w:t>6</w:t>
            </w:r>
            <w:r>
              <w:rPr>
                <w:rFonts w:hint="eastAsia" w:ascii="宋体" w:hAnsi="宋体" w:eastAsia="宋体" w:cs="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研究方向</w:t>
            </w:r>
          </w:p>
        </w:tc>
        <w:tc>
          <w:tcPr>
            <w:tcW w:w="9134" w:type="dxa"/>
            <w:gridSpan w:val="11"/>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海洋环境保护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基本修业年限</w:t>
            </w:r>
          </w:p>
        </w:tc>
        <w:tc>
          <w:tcPr>
            <w:tcW w:w="9134" w:type="dxa"/>
            <w:gridSpan w:val="11"/>
            <w:vAlign w:val="center"/>
          </w:tcPr>
          <w:p>
            <w:pPr>
              <w:widowControl/>
              <w:spacing w:line="320" w:lineRule="exact"/>
              <w:jc w:val="center"/>
              <w:rPr>
                <w:rFonts w:ascii="宋体" w:hAnsi="宋体" w:eastAsia="宋体" w:cs="宋体"/>
                <w:color w:val="auto"/>
                <w:spacing w:val="11"/>
                <w:kern w:val="0"/>
                <w:sz w:val="18"/>
                <w:szCs w:val="18"/>
                <w:highlight w:val="none"/>
              </w:rPr>
            </w:pPr>
            <w:r>
              <w:rPr>
                <w:rFonts w:ascii="宋体" w:hAnsi="宋体" w:eastAsia="宋体" w:cs="宋体"/>
                <w:color w:val="auto"/>
                <w:spacing w:val="11"/>
                <w:kern w:val="0"/>
                <w:sz w:val="18"/>
                <w:szCs w:val="18"/>
                <w:highlight w:val="none"/>
                <w:u w:val="single"/>
              </w:rPr>
              <w:t xml:space="preserve"> 4 </w:t>
            </w:r>
            <w:r>
              <w:rPr>
                <w:rFonts w:hint="eastAsia" w:ascii="宋体" w:hAnsi="宋体" w:eastAsia="宋体" w:cs="宋体"/>
                <w:color w:val="auto"/>
                <w:spacing w:val="11"/>
                <w:kern w:val="0"/>
                <w:sz w:val="18"/>
                <w:szCs w:val="18"/>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学分</w:t>
            </w:r>
          </w:p>
        </w:tc>
        <w:tc>
          <w:tcPr>
            <w:tcW w:w="9134" w:type="dxa"/>
            <w:gridSpan w:val="11"/>
            <w:vAlign w:val="center"/>
          </w:tcPr>
          <w:p>
            <w:pPr>
              <w:widowControl/>
              <w:spacing w:line="320" w:lineRule="exact"/>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总学分≥</w:t>
            </w:r>
            <w:r>
              <w:rPr>
                <w:rFonts w:ascii="宋体" w:hAnsi="宋体" w:eastAsia="宋体"/>
                <w:color w:val="auto"/>
                <w:spacing w:val="11"/>
                <w:kern w:val="0"/>
                <w:sz w:val="18"/>
                <w:szCs w:val="18"/>
                <w:highlight w:val="none"/>
                <w:u w:val="single"/>
              </w:rPr>
              <w:t>23</w:t>
            </w:r>
            <w:r>
              <w:rPr>
                <w:rFonts w:hint="eastAsia" w:ascii="宋体" w:hAnsi="宋体" w:eastAsia="宋体" w:cs="宋体"/>
                <w:color w:val="auto"/>
                <w:spacing w:val="11"/>
                <w:kern w:val="0"/>
                <w:sz w:val="18"/>
                <w:szCs w:val="18"/>
                <w:highlight w:val="none"/>
              </w:rPr>
              <w:t>学分，其中课程学分≥</w:t>
            </w:r>
            <w:r>
              <w:rPr>
                <w:rFonts w:ascii="宋体" w:hAnsi="宋体" w:eastAsia="宋体"/>
                <w:color w:val="auto"/>
                <w:spacing w:val="11"/>
                <w:kern w:val="0"/>
                <w:sz w:val="18"/>
                <w:szCs w:val="18"/>
                <w:highlight w:val="none"/>
                <w:u w:val="single"/>
              </w:rPr>
              <w:t>12</w:t>
            </w:r>
            <w:r>
              <w:rPr>
                <w:rFonts w:hint="eastAsia" w:ascii="宋体" w:hAnsi="宋体" w:eastAsia="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学分，实践模块和培养环节≥</w:t>
            </w:r>
            <w:r>
              <w:rPr>
                <w:rFonts w:ascii="宋体" w:hAnsi="宋体" w:eastAsia="宋体"/>
                <w:color w:val="auto"/>
                <w:spacing w:val="11"/>
                <w:kern w:val="0"/>
                <w:sz w:val="18"/>
                <w:szCs w:val="18"/>
                <w:highlight w:val="none"/>
                <w:u w:val="single"/>
              </w:rPr>
              <w:t>11</w:t>
            </w:r>
            <w:r>
              <w:rPr>
                <w:rFonts w:hint="eastAsia" w:ascii="宋体" w:hAnsi="宋体" w:eastAsia="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专业学位类别</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（领域）简介</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w:t>
            </w:r>
            <w:r>
              <w:rPr>
                <w:rFonts w:hint="eastAsia" w:ascii="宋体" w:hAnsi="宋体" w:eastAsia="宋体" w:cs="宋体"/>
                <w:color w:val="auto"/>
                <w:spacing w:val="11"/>
                <w:kern w:val="0"/>
                <w:sz w:val="16"/>
                <w:szCs w:val="16"/>
                <w:highlight w:val="none"/>
              </w:rPr>
              <w:t>200字内</w:t>
            </w:r>
            <w:r>
              <w:rPr>
                <w:rFonts w:hint="eastAsia"/>
                <w:color w:val="auto"/>
                <w:spacing w:val="11"/>
                <w:kern w:val="0"/>
                <w:sz w:val="16"/>
                <w:szCs w:val="18"/>
                <w:highlight w:val="none"/>
              </w:rPr>
              <w:t>）</w:t>
            </w:r>
          </w:p>
        </w:tc>
        <w:tc>
          <w:tcPr>
            <w:tcW w:w="9134" w:type="dxa"/>
            <w:gridSpan w:val="11"/>
            <w:vAlign w:val="center"/>
          </w:tcPr>
          <w:p>
            <w:pPr>
              <w:widowControl/>
              <w:spacing w:line="320" w:lineRule="exact"/>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资源与环境专业学位类别主要研究方向为海洋环境保护。重点研究湖泊水质水量保障与生境改善、河口区水污染综合治理与湿地生态修复保护、地下水体污染监控及治理等领域的关键技术问题。近年来承担国家重大科技专项、重点研发计划、国家自然科学基金重点项目/重大项目/重大仪器专项/面上项目及省部级基金项目一百余项，直</w:t>
            </w:r>
            <w:bookmarkStart w:id="1" w:name="_GoBack"/>
            <w:bookmarkEnd w:id="1"/>
            <w:r>
              <w:rPr>
                <w:rFonts w:hint="eastAsia" w:ascii="宋体" w:hAnsi="宋体" w:eastAsia="宋体" w:cs="宋体"/>
                <w:color w:val="auto"/>
                <w:spacing w:val="11"/>
                <w:kern w:val="0"/>
                <w:sz w:val="18"/>
                <w:szCs w:val="18"/>
                <w:highlight w:val="none"/>
              </w:rPr>
              <w:t>接服务于地方经济建设的科研与生产项目数百项。水污染控制与治理技术、水资源利用与保护、地下水土环境污染探测和修复等研究处于国内领先地位。本专业领域现有大型仪器设备总价值达</w:t>
            </w:r>
            <w:r>
              <w:rPr>
                <w:rFonts w:ascii="宋体" w:hAnsi="宋体" w:eastAsia="宋体" w:cs="宋体"/>
                <w:color w:val="auto"/>
                <w:spacing w:val="11"/>
                <w:kern w:val="0"/>
                <w:sz w:val="18"/>
                <w:szCs w:val="18"/>
                <w:highlight w:val="none"/>
              </w:rPr>
              <w:t>4</w:t>
            </w:r>
            <w:r>
              <w:rPr>
                <w:rFonts w:hint="eastAsia" w:ascii="宋体" w:hAnsi="宋体" w:eastAsia="宋体" w:cs="宋体"/>
                <w:color w:val="auto"/>
                <w:spacing w:val="11"/>
                <w:kern w:val="0"/>
                <w:sz w:val="18"/>
                <w:szCs w:val="18"/>
                <w:highlight w:val="none"/>
              </w:rPr>
              <w:t>000余万元，形成了功能完备的环境科学与工程现场观测、室内分析测试和数值计算等研究和人才培养平台。实验室总面积约4000m</w:t>
            </w:r>
            <w:r>
              <w:rPr>
                <w:rFonts w:hint="eastAsia" w:ascii="宋体" w:hAnsi="宋体" w:eastAsia="宋体" w:cs="宋体"/>
                <w:color w:val="auto"/>
                <w:spacing w:val="11"/>
                <w:kern w:val="0"/>
                <w:sz w:val="18"/>
                <w:szCs w:val="18"/>
                <w:highlight w:val="none"/>
                <w:vertAlign w:val="superscript"/>
              </w:rPr>
              <w:t>2</w:t>
            </w:r>
            <w:r>
              <w:rPr>
                <w:rFonts w:hint="eastAsia" w:ascii="宋体" w:hAnsi="宋体" w:eastAsia="宋体" w:cs="宋体"/>
                <w:color w:val="auto"/>
                <w:spacing w:val="11"/>
                <w:kern w:val="0"/>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培养目标</w:t>
            </w:r>
          </w:p>
          <w:p>
            <w:pPr>
              <w:widowControl/>
              <w:spacing w:line="320" w:lineRule="exact"/>
              <w:jc w:val="center"/>
              <w:rPr>
                <w:rFonts w:ascii="宋体" w:hAnsi="宋体" w:eastAsia="宋体" w:cs="宋体"/>
                <w:color w:val="auto"/>
                <w:spacing w:val="11"/>
                <w:kern w:val="0"/>
                <w:sz w:val="18"/>
                <w:szCs w:val="18"/>
                <w:highlight w:val="none"/>
              </w:rPr>
            </w:pPr>
            <w:r>
              <w:rPr>
                <w:rFonts w:hint="eastAsia"/>
                <w:color w:val="auto"/>
                <w:spacing w:val="11"/>
                <w:kern w:val="0"/>
                <w:sz w:val="16"/>
                <w:szCs w:val="18"/>
                <w:highlight w:val="none"/>
              </w:rPr>
              <w:t>（200字内）</w:t>
            </w:r>
          </w:p>
        </w:tc>
        <w:tc>
          <w:tcPr>
            <w:tcW w:w="9134" w:type="dxa"/>
            <w:gridSpan w:val="11"/>
            <w:vAlign w:val="center"/>
          </w:tcPr>
          <w:p>
            <w:pPr>
              <w:widowControl/>
              <w:spacing w:line="320" w:lineRule="exact"/>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博士生：紧密结合我国经济社会和科技发展需求，面向企业（行业）工程实际，坚持以立德树人为根本，培育和践行社会主义核心价值观，培养在相关工程领域掌握坚实宽广的理论基础和系统深入的专门知识，具备解决复杂工程技术问题、进行工程技术创新、组织工程技术研究开发工作等能力，具有高度社会责任感的高层次工程技术人才，为培养造就工程技术领军人才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0928" w:type="dxa"/>
            <w:gridSpan w:val="12"/>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课程体系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课程类别</w:t>
            </w:r>
          </w:p>
        </w:tc>
        <w:tc>
          <w:tcPr>
            <w:tcW w:w="1041" w:type="dxa"/>
            <w:gridSpan w:val="2"/>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课程编号</w:t>
            </w:r>
          </w:p>
        </w:tc>
        <w:tc>
          <w:tcPr>
            <w:tcW w:w="2685" w:type="dxa"/>
            <w:gridSpan w:val="2"/>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课程中文名称</w:t>
            </w:r>
          </w:p>
        </w:tc>
        <w:tc>
          <w:tcPr>
            <w:tcW w:w="1075" w:type="dxa"/>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学分</w:t>
            </w:r>
          </w:p>
        </w:tc>
        <w:tc>
          <w:tcPr>
            <w:tcW w:w="780" w:type="dxa"/>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开课</w:t>
            </w:r>
          </w:p>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学期</w:t>
            </w:r>
          </w:p>
        </w:tc>
        <w:tc>
          <w:tcPr>
            <w:tcW w:w="1370" w:type="dxa"/>
            <w:gridSpan w:val="3"/>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博士</w:t>
            </w:r>
          </w:p>
        </w:tc>
        <w:tc>
          <w:tcPr>
            <w:tcW w:w="730" w:type="dxa"/>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考核</w:t>
            </w:r>
          </w:p>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方式</w:t>
            </w:r>
          </w:p>
        </w:tc>
        <w:tc>
          <w:tcPr>
            <w:tcW w:w="1453" w:type="dxa"/>
            <w:vAlign w:val="center"/>
          </w:tcPr>
          <w:p>
            <w:pPr>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备注</w:t>
            </w:r>
          </w:p>
          <w:p>
            <w:pPr>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bCs/>
                <w:color w:val="auto"/>
                <w:spacing w:val="11"/>
                <w:kern w:val="0"/>
                <w:sz w:val="18"/>
                <w:szCs w:val="18"/>
                <w:highlight w:val="none"/>
              </w:rPr>
              <w:t>（含</w:t>
            </w:r>
            <w:r>
              <w:rPr>
                <w:rFonts w:hint="eastAsia" w:ascii="宋体" w:hAnsi="宋体" w:eastAsia="宋体" w:cs="宋体"/>
                <w:b/>
                <w:color w:val="auto"/>
                <w:spacing w:val="11"/>
                <w:kern w:val="0"/>
                <w:sz w:val="18"/>
                <w:szCs w:val="18"/>
                <w:highlight w:val="none"/>
              </w:rPr>
              <w:t>前置课</w:t>
            </w:r>
            <w:r>
              <w:rPr>
                <w:rFonts w:hint="eastAsia" w:ascii="宋体" w:hAnsi="宋体" w:eastAsia="宋体" w:cs="宋体"/>
                <w:b/>
                <w:bCs/>
                <w:color w:val="auto"/>
                <w:spacing w:val="11"/>
                <w:kern w:val="0"/>
                <w:sz w:val="18"/>
                <w:szCs w:val="18"/>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794" w:type="dxa"/>
            <w:vMerge w:val="restart"/>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公共课：</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olor w:val="auto"/>
                <w:spacing w:val="11"/>
                <w:kern w:val="0"/>
                <w:sz w:val="18"/>
                <w:szCs w:val="18"/>
                <w:highlight w:val="none"/>
                <w:u w:val="single"/>
              </w:rPr>
              <w:t xml:space="preserve"> </w:t>
            </w:r>
            <w:r>
              <w:rPr>
                <w:rFonts w:ascii="宋体" w:hAnsi="宋体" w:eastAsia="宋体"/>
                <w:color w:val="auto"/>
                <w:spacing w:val="11"/>
                <w:kern w:val="0"/>
                <w:sz w:val="18"/>
                <w:szCs w:val="18"/>
                <w:highlight w:val="none"/>
                <w:u w:val="single"/>
              </w:rPr>
              <w:t>6</w:t>
            </w:r>
            <w:r>
              <w:rPr>
                <w:rFonts w:hint="eastAsia" w:ascii="宋体" w:hAnsi="宋体" w:eastAsia="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学分</w:t>
            </w: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000K0016</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中国马克思主义与当代</w:t>
            </w:r>
          </w:p>
        </w:tc>
        <w:tc>
          <w:tcPr>
            <w:tcW w:w="1075"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ascii="宋体" w:hAnsi="宋体" w:eastAsia="宋体" w:cs="宋体"/>
                <w:color w:val="auto"/>
                <w:spacing w:val="11"/>
                <w:kern w:val="0"/>
                <w:sz w:val="18"/>
                <w:szCs w:val="18"/>
                <w:highlight w:val="none"/>
              </w:rPr>
              <w:t>2</w:t>
            </w:r>
          </w:p>
        </w:tc>
        <w:tc>
          <w:tcPr>
            <w:tcW w:w="780" w:type="dxa"/>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夏秋</w:t>
            </w:r>
          </w:p>
        </w:tc>
        <w:tc>
          <w:tcPr>
            <w:tcW w:w="1370" w:type="dxa"/>
            <w:gridSpan w:val="3"/>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必修</w:t>
            </w:r>
          </w:p>
        </w:tc>
        <w:tc>
          <w:tcPr>
            <w:tcW w:w="730"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考试</w:t>
            </w:r>
          </w:p>
        </w:tc>
        <w:tc>
          <w:tcPr>
            <w:tcW w:w="1453" w:type="dxa"/>
            <w:vAlign w:val="center"/>
          </w:tcPr>
          <w:p>
            <w:pPr>
              <w:widowControl/>
              <w:snapToGrid w:val="0"/>
              <w:spacing w:line="240" w:lineRule="atLeast"/>
              <w:jc w:val="center"/>
              <w:rPr>
                <w:rFonts w:ascii="宋体" w:hAnsi="宋体" w:eastAsia="宋体" w:cs="宋体"/>
                <w:strike/>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widowControl/>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000K3007</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工程伦理</w:t>
            </w:r>
          </w:p>
        </w:tc>
        <w:tc>
          <w:tcPr>
            <w:tcW w:w="1075" w:type="dxa"/>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w:t>
            </w:r>
          </w:p>
        </w:tc>
        <w:tc>
          <w:tcPr>
            <w:tcW w:w="780" w:type="dxa"/>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春</w:t>
            </w:r>
          </w:p>
        </w:tc>
        <w:tc>
          <w:tcPr>
            <w:tcW w:w="1370" w:type="dxa"/>
            <w:gridSpan w:val="3"/>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必修</w:t>
            </w:r>
          </w:p>
        </w:tc>
        <w:tc>
          <w:tcPr>
            <w:tcW w:w="730" w:type="dxa"/>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考试</w:t>
            </w:r>
          </w:p>
        </w:tc>
        <w:tc>
          <w:tcPr>
            <w:tcW w:w="1453" w:type="dxa"/>
            <w:vAlign w:val="center"/>
          </w:tcPr>
          <w:p>
            <w:pPr>
              <w:widowControl/>
              <w:snapToGrid w:val="0"/>
              <w:spacing w:line="240" w:lineRule="atLeast"/>
              <w:jc w:val="center"/>
              <w:rPr>
                <w:rFonts w:ascii="宋体" w:hAnsi="宋体" w:eastAsia="宋体" w:cs="宋体"/>
                <w:strike/>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widowControl/>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000K9002</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学术道德与规范</w:t>
            </w:r>
          </w:p>
        </w:tc>
        <w:tc>
          <w:tcPr>
            <w:tcW w:w="1075"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1</w:t>
            </w:r>
          </w:p>
        </w:tc>
        <w:tc>
          <w:tcPr>
            <w:tcW w:w="780"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olor w:val="auto"/>
                <w:sz w:val="18"/>
                <w:szCs w:val="18"/>
                <w:highlight w:val="none"/>
              </w:rPr>
              <w:t>夏秋</w:t>
            </w:r>
          </w:p>
        </w:tc>
        <w:tc>
          <w:tcPr>
            <w:tcW w:w="1370" w:type="dxa"/>
            <w:gridSpan w:val="3"/>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必修</w:t>
            </w:r>
          </w:p>
        </w:tc>
        <w:tc>
          <w:tcPr>
            <w:tcW w:w="730"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考试</w:t>
            </w:r>
          </w:p>
        </w:tc>
        <w:tc>
          <w:tcPr>
            <w:tcW w:w="1453" w:type="dxa"/>
            <w:vAlign w:val="center"/>
          </w:tcPr>
          <w:p>
            <w:pPr>
              <w:widowControl/>
              <w:spacing w:line="320" w:lineRule="exact"/>
              <w:rPr>
                <w:rFonts w:ascii="宋体" w:hAnsi="宋体" w:eastAsia="宋体" w:cs="宋体"/>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widowControl/>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000K9003</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论文写作指导</w:t>
            </w:r>
          </w:p>
        </w:tc>
        <w:tc>
          <w:tcPr>
            <w:tcW w:w="1075"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2</w:t>
            </w:r>
          </w:p>
        </w:tc>
        <w:tc>
          <w:tcPr>
            <w:tcW w:w="780"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olor w:val="auto"/>
                <w:sz w:val="18"/>
                <w:szCs w:val="18"/>
                <w:highlight w:val="none"/>
              </w:rPr>
              <w:t>夏秋</w:t>
            </w:r>
          </w:p>
        </w:tc>
        <w:tc>
          <w:tcPr>
            <w:tcW w:w="1370" w:type="dxa"/>
            <w:gridSpan w:val="3"/>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必修</w:t>
            </w:r>
          </w:p>
        </w:tc>
        <w:tc>
          <w:tcPr>
            <w:tcW w:w="730"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考试</w:t>
            </w:r>
          </w:p>
        </w:tc>
        <w:tc>
          <w:tcPr>
            <w:tcW w:w="1453" w:type="dxa"/>
            <w:vAlign w:val="center"/>
          </w:tcPr>
          <w:p>
            <w:pPr>
              <w:widowControl/>
              <w:spacing w:line="320" w:lineRule="exact"/>
              <w:jc w:val="center"/>
              <w:rPr>
                <w:rFonts w:ascii="宋体" w:hAnsi="宋体" w:eastAsia="宋体" w:cs="宋体"/>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基础课：</w:t>
            </w:r>
          </w:p>
          <w:p>
            <w:pPr>
              <w:widowControl/>
              <w:spacing w:line="320" w:lineRule="exact"/>
              <w:jc w:val="center"/>
              <w:rPr>
                <w:rFonts w:ascii="宋体" w:hAnsi="宋体" w:eastAsia="宋体" w:cs="宋体"/>
                <w:color w:val="auto"/>
                <w:spacing w:val="11"/>
                <w:kern w:val="0"/>
                <w:sz w:val="18"/>
                <w:szCs w:val="18"/>
                <w:highlight w:val="none"/>
              </w:rPr>
            </w:pPr>
            <w:r>
              <w:rPr>
                <w:rFonts w:ascii="宋体" w:hAnsi="宋体" w:eastAsia="宋体"/>
                <w:color w:val="auto"/>
                <w:spacing w:val="11"/>
                <w:kern w:val="0"/>
                <w:sz w:val="18"/>
                <w:szCs w:val="18"/>
                <w:highlight w:val="none"/>
              </w:rPr>
              <w:t>≥</w:t>
            </w:r>
            <w:r>
              <w:rPr>
                <w:rFonts w:hint="eastAsia" w:ascii="宋体" w:hAnsi="宋体" w:eastAsia="宋体"/>
                <w:color w:val="auto"/>
                <w:spacing w:val="11"/>
                <w:kern w:val="0"/>
                <w:sz w:val="18"/>
                <w:szCs w:val="18"/>
                <w:highlight w:val="none"/>
                <w:u w:val="single"/>
              </w:rPr>
              <w:t xml:space="preserve"> 0 </w:t>
            </w:r>
            <w:r>
              <w:rPr>
                <w:rFonts w:hint="eastAsia" w:ascii="宋体" w:hAnsi="宋体" w:eastAsia="宋体" w:cs="宋体"/>
                <w:color w:val="auto"/>
                <w:spacing w:val="11"/>
                <w:kern w:val="0"/>
                <w:sz w:val="18"/>
                <w:szCs w:val="18"/>
                <w:highlight w:val="none"/>
              </w:rPr>
              <w:t>学分</w:t>
            </w: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130K0143</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数据处理与建模</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3</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春</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考试</w:t>
            </w:r>
          </w:p>
        </w:tc>
        <w:tc>
          <w:tcPr>
            <w:tcW w:w="1453" w:type="dxa"/>
            <w:vAlign w:val="center"/>
          </w:tcPr>
          <w:p>
            <w:pPr>
              <w:widowControl/>
              <w:snapToGrid w:val="0"/>
              <w:spacing w:line="240" w:lineRule="atLeas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原《环境数据统计与处理》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restart"/>
            <w:vAlign w:val="center"/>
          </w:tcPr>
          <w:p>
            <w:pPr>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核心专业课：</w:t>
            </w:r>
          </w:p>
          <w:p>
            <w:pPr>
              <w:spacing w:line="320" w:lineRule="exact"/>
              <w:jc w:val="center"/>
              <w:rPr>
                <w:rFonts w:ascii="宋体" w:hAnsi="宋体" w:eastAsia="宋体" w:cs="宋体"/>
                <w:color w:val="auto"/>
                <w:spacing w:val="11"/>
                <w:kern w:val="0"/>
                <w:sz w:val="18"/>
                <w:szCs w:val="18"/>
                <w:highlight w:val="none"/>
              </w:rPr>
            </w:pPr>
            <w:r>
              <w:rPr>
                <w:rFonts w:ascii="宋体" w:hAnsi="宋体" w:eastAsia="宋体"/>
                <w:color w:val="auto"/>
                <w:spacing w:val="11"/>
                <w:kern w:val="0"/>
                <w:sz w:val="18"/>
                <w:szCs w:val="18"/>
                <w:highlight w:val="none"/>
              </w:rPr>
              <w:t>≥</w:t>
            </w:r>
            <w:r>
              <w:rPr>
                <w:rFonts w:hint="eastAsia" w:ascii="宋体" w:hAnsi="宋体" w:eastAsia="宋体"/>
                <w:color w:val="auto"/>
                <w:spacing w:val="11"/>
                <w:kern w:val="0"/>
                <w:sz w:val="18"/>
                <w:szCs w:val="18"/>
                <w:highlight w:val="none"/>
                <w:u w:val="single"/>
              </w:rPr>
              <w:t xml:space="preserve"> </w:t>
            </w:r>
            <w:r>
              <w:rPr>
                <w:rFonts w:ascii="宋体" w:hAnsi="宋体" w:eastAsia="宋体"/>
                <w:color w:val="auto"/>
                <w:spacing w:val="11"/>
                <w:kern w:val="0"/>
                <w:sz w:val="18"/>
                <w:szCs w:val="18"/>
                <w:highlight w:val="none"/>
                <w:u w:val="single"/>
              </w:rPr>
              <w:t>4</w:t>
            </w:r>
            <w:r>
              <w:rPr>
                <w:rFonts w:hint="eastAsia" w:ascii="宋体" w:hAnsi="宋体" w:eastAsia="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学分</w:t>
            </w: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050K0102</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地球系统科学</w:t>
            </w:r>
          </w:p>
        </w:tc>
        <w:tc>
          <w:tcPr>
            <w:tcW w:w="1075" w:type="dxa"/>
            <w:vAlign w:val="center"/>
          </w:tcPr>
          <w:p>
            <w:pPr>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考试</w:t>
            </w:r>
          </w:p>
        </w:tc>
        <w:tc>
          <w:tcPr>
            <w:tcW w:w="1453"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olor w:val="auto"/>
                <w:sz w:val="18"/>
                <w:szCs w:val="18"/>
                <w:highlight w:val="none"/>
              </w:rPr>
              <w:t>地球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rPr>
                <w:rFonts w:ascii="宋体" w:hAnsi="宋体" w:eastAsia="宋体"/>
                <w:color w:val="auto"/>
                <w:sz w:val="18"/>
                <w:szCs w:val="18"/>
                <w:highlight w:val="none"/>
              </w:rPr>
            </w:pPr>
            <w:r>
              <w:rPr>
                <w:rFonts w:hint="eastAsia" w:ascii="宋体" w:hAnsi="宋体" w:eastAsia="宋体"/>
                <w:color w:val="auto"/>
                <w:sz w:val="18"/>
                <w:szCs w:val="18"/>
                <w:highlight w:val="none"/>
              </w:rPr>
              <w:t>130K0131</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生态文明</w:t>
            </w:r>
          </w:p>
        </w:tc>
        <w:tc>
          <w:tcPr>
            <w:tcW w:w="1075" w:type="dxa"/>
            <w:vAlign w:val="center"/>
          </w:tcPr>
          <w:p>
            <w:pPr>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考试</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环科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150K0039</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环境与材料前沿讲座</w:t>
            </w:r>
          </w:p>
        </w:tc>
        <w:tc>
          <w:tcPr>
            <w:tcW w:w="1075" w:type="dxa"/>
            <w:vAlign w:val="center"/>
          </w:tcPr>
          <w:p>
            <w:pPr>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olor w:val="auto"/>
                <w:sz w:val="18"/>
                <w:szCs w:val="18"/>
                <w:highlight w:val="none"/>
              </w:rPr>
              <w:t>考试</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材料、化学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130K0028</w:t>
            </w:r>
            <w:r>
              <w:rPr>
                <w:rFonts w:ascii="宋体" w:hAnsi="宋体" w:eastAsia="宋体"/>
                <w:color w:val="auto"/>
                <w:sz w:val="18"/>
                <w:szCs w:val="18"/>
                <w:highlight w:val="none"/>
              </w:rPr>
              <w:t xml:space="preserve"> </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污水处理技术研究进展</w:t>
            </w:r>
            <w:r>
              <w:rPr>
                <w:rFonts w:ascii="宋体" w:hAnsi="宋体" w:eastAsia="宋体"/>
                <w:color w:val="auto"/>
                <w:sz w:val="18"/>
                <w:szCs w:val="18"/>
                <w:highlight w:val="none"/>
              </w:rPr>
              <w:t xml:space="preserve"> </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olor w:val="auto"/>
                <w:sz w:val="18"/>
                <w:szCs w:val="18"/>
                <w:highlight w:val="none"/>
              </w:rPr>
              <w:t>考试</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环科、化学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030K0084</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海洋功能材料</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夏秋</w:t>
            </w:r>
          </w:p>
        </w:tc>
        <w:tc>
          <w:tcPr>
            <w:tcW w:w="1370" w:type="dxa"/>
            <w:gridSpan w:val="3"/>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选修</w:t>
            </w:r>
          </w:p>
        </w:tc>
        <w:tc>
          <w:tcPr>
            <w:tcW w:w="730"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考试</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restart"/>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专业课：</w:t>
            </w:r>
          </w:p>
          <w:p>
            <w:pPr>
              <w:widowControl/>
              <w:spacing w:line="320" w:lineRule="exact"/>
              <w:jc w:val="center"/>
              <w:rPr>
                <w:rFonts w:ascii="宋体" w:hAnsi="宋体" w:eastAsia="宋体" w:cs="宋体"/>
                <w:color w:val="auto"/>
                <w:spacing w:val="11"/>
                <w:kern w:val="0"/>
                <w:sz w:val="18"/>
                <w:szCs w:val="18"/>
                <w:highlight w:val="none"/>
              </w:rPr>
            </w:pPr>
            <w:r>
              <w:rPr>
                <w:rFonts w:ascii="宋体" w:hAnsi="宋体" w:eastAsia="宋体"/>
                <w:color w:val="auto"/>
                <w:spacing w:val="11"/>
                <w:kern w:val="0"/>
                <w:sz w:val="18"/>
                <w:szCs w:val="18"/>
                <w:highlight w:val="none"/>
              </w:rPr>
              <w:t>≥</w:t>
            </w:r>
            <w:r>
              <w:rPr>
                <w:rFonts w:hint="eastAsia" w:ascii="宋体" w:hAnsi="宋体" w:eastAsia="宋体"/>
                <w:color w:val="auto"/>
                <w:spacing w:val="11"/>
                <w:kern w:val="0"/>
                <w:sz w:val="18"/>
                <w:szCs w:val="18"/>
                <w:highlight w:val="none"/>
                <w:u w:val="single"/>
              </w:rPr>
              <w:t xml:space="preserve"> </w:t>
            </w:r>
            <w:r>
              <w:rPr>
                <w:rFonts w:ascii="宋体" w:hAnsi="宋体" w:eastAsia="宋体"/>
                <w:color w:val="auto"/>
                <w:spacing w:val="11"/>
                <w:kern w:val="0"/>
                <w:sz w:val="18"/>
                <w:szCs w:val="18"/>
                <w:highlight w:val="none"/>
                <w:u w:val="single"/>
              </w:rPr>
              <w:t>2</w:t>
            </w:r>
            <w:r>
              <w:rPr>
                <w:rFonts w:hint="eastAsia" w:ascii="宋体" w:hAnsi="宋体" w:eastAsia="宋体"/>
                <w:color w:val="auto"/>
                <w:spacing w:val="11"/>
                <w:kern w:val="0"/>
                <w:sz w:val="18"/>
                <w:szCs w:val="18"/>
                <w:highlight w:val="none"/>
                <w:u w:val="single"/>
              </w:rPr>
              <w:t xml:space="preserve"> </w:t>
            </w:r>
            <w:r>
              <w:rPr>
                <w:rFonts w:hint="eastAsia" w:ascii="宋体" w:hAnsi="宋体" w:eastAsia="宋体" w:cs="宋体"/>
                <w:color w:val="auto"/>
                <w:spacing w:val="11"/>
                <w:kern w:val="0"/>
                <w:sz w:val="18"/>
                <w:szCs w:val="18"/>
                <w:highlight w:val="none"/>
              </w:rPr>
              <w:t>学分</w:t>
            </w: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050K0195</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海洋地质学</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夏秋</w:t>
            </w:r>
          </w:p>
        </w:tc>
        <w:tc>
          <w:tcPr>
            <w:tcW w:w="1370" w:type="dxa"/>
            <w:gridSpan w:val="3"/>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选修</w:t>
            </w:r>
          </w:p>
        </w:tc>
        <w:tc>
          <w:tcPr>
            <w:tcW w:w="730"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考试</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地球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widowControl/>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130K0084</w:t>
            </w:r>
            <w:r>
              <w:rPr>
                <w:rFonts w:ascii="宋体" w:hAnsi="宋体" w:eastAsia="宋体"/>
                <w:color w:val="auto"/>
                <w:sz w:val="18"/>
                <w:szCs w:val="18"/>
                <w:highlight w:val="none"/>
              </w:rPr>
              <w:t xml:space="preserve"> </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s="宋体"/>
                <w:color w:val="auto"/>
                <w:spacing w:val="15"/>
                <w:kern w:val="0"/>
                <w:sz w:val="18"/>
                <w:szCs w:val="18"/>
                <w:highlight w:val="none"/>
              </w:rPr>
              <w:t>地下水污染原理与研究方法</w:t>
            </w:r>
            <w:r>
              <w:rPr>
                <w:rFonts w:ascii="宋体" w:hAnsi="宋体" w:eastAsia="宋体"/>
                <w:color w:val="auto"/>
                <w:sz w:val="18"/>
                <w:szCs w:val="18"/>
                <w:highlight w:val="none"/>
              </w:rPr>
              <w:t xml:space="preserve"> </w:t>
            </w:r>
          </w:p>
        </w:tc>
        <w:tc>
          <w:tcPr>
            <w:tcW w:w="1075" w:type="dxa"/>
            <w:vAlign w:val="center"/>
          </w:tcPr>
          <w:p>
            <w:pPr>
              <w:spacing w:line="320" w:lineRule="exact"/>
              <w:jc w:val="center"/>
              <w:rPr>
                <w:rFonts w:ascii="宋体" w:hAnsi="宋体" w:eastAsia="宋体"/>
                <w:color w:val="auto"/>
                <w:sz w:val="18"/>
                <w:szCs w:val="18"/>
                <w:highlight w:val="none"/>
              </w:rPr>
            </w:pPr>
            <w:r>
              <w:rPr>
                <w:rFonts w:ascii="宋体" w:hAnsi="宋体" w:eastAsia="宋体" w:cs="宋体"/>
                <w:color w:val="auto"/>
                <w:spacing w:val="15"/>
                <w:kern w:val="0"/>
                <w:sz w:val="18"/>
                <w:szCs w:val="18"/>
                <w:highlight w:val="none"/>
              </w:rPr>
              <w:t>2</w:t>
            </w:r>
            <w:r>
              <w:rPr>
                <w:rFonts w:ascii="宋体" w:hAnsi="宋体" w:eastAsia="宋体"/>
                <w:color w:val="auto"/>
                <w:sz w:val="18"/>
                <w:szCs w:val="18"/>
                <w:highlight w:val="none"/>
              </w:rPr>
              <w:t xml:space="preserve"> </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olor w:val="auto"/>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pacing w:val="15"/>
                <w:kern w:val="0"/>
                <w:sz w:val="18"/>
                <w:szCs w:val="18"/>
                <w:highlight w:val="none"/>
              </w:rPr>
              <w:t>考查</w:t>
            </w:r>
            <w:r>
              <w:rPr>
                <w:rFonts w:ascii="宋体" w:hAnsi="宋体" w:eastAsia="宋体"/>
                <w:color w:val="auto"/>
                <w:sz w:val="18"/>
                <w:szCs w:val="18"/>
                <w:highlight w:val="none"/>
              </w:rPr>
              <w:t xml:space="preserve"> </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环科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130K0029</w:t>
            </w:r>
            <w:r>
              <w:rPr>
                <w:rFonts w:ascii="宋体" w:hAnsi="宋体" w:eastAsia="宋体"/>
                <w:color w:val="auto"/>
                <w:sz w:val="18"/>
                <w:szCs w:val="18"/>
                <w:highlight w:val="none"/>
              </w:rPr>
              <w:t xml:space="preserve"> </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olor w:val="auto"/>
                <w:sz w:val="18"/>
                <w:szCs w:val="18"/>
                <w:highlight w:val="none"/>
              </w:rPr>
              <w:t>环境规划与评价</w:t>
            </w:r>
            <w:r>
              <w:rPr>
                <w:rFonts w:ascii="宋体" w:hAnsi="宋体" w:eastAsia="宋体"/>
                <w:color w:val="auto"/>
                <w:sz w:val="18"/>
                <w:szCs w:val="18"/>
                <w:highlight w:val="none"/>
              </w:rPr>
              <w:t xml:space="preserve"> </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ascii="宋体" w:hAnsi="宋体" w:eastAsia="宋体"/>
                <w:color w:val="auto"/>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olor w:val="auto"/>
                <w:sz w:val="18"/>
                <w:szCs w:val="18"/>
                <w:highlight w:val="none"/>
              </w:rPr>
              <w:t>考查</w:t>
            </w:r>
            <w:r>
              <w:rPr>
                <w:rFonts w:ascii="宋体" w:hAnsi="宋体" w:eastAsia="宋体"/>
                <w:color w:val="auto"/>
                <w:sz w:val="18"/>
                <w:szCs w:val="18"/>
                <w:highlight w:val="none"/>
              </w:rPr>
              <w:t xml:space="preserve"> </w:t>
            </w:r>
          </w:p>
        </w:tc>
        <w:tc>
          <w:tcPr>
            <w:tcW w:w="1453"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环科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ascii="宋体" w:hAnsi="宋体" w:eastAsia="宋体" w:cs="宋体"/>
                <w:color w:val="auto"/>
                <w:kern w:val="0"/>
                <w:sz w:val="18"/>
                <w:szCs w:val="18"/>
                <w:highlight w:val="none"/>
              </w:rPr>
              <w:t>030K0077</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海洋资源化学工程</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考查</w:t>
            </w:r>
          </w:p>
        </w:tc>
        <w:tc>
          <w:tcPr>
            <w:tcW w:w="1453"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ascii="宋体" w:hAnsi="宋体" w:eastAsia="宋体"/>
                <w:color w:val="auto"/>
                <w:sz w:val="18"/>
                <w:szCs w:val="18"/>
                <w:highlight w:val="none"/>
              </w:rPr>
              <w:t>030K0116</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海洋腐蚀与生物污损</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2</w:t>
            </w:r>
          </w:p>
        </w:tc>
        <w:tc>
          <w:tcPr>
            <w:tcW w:w="780" w:type="dxa"/>
            <w:vAlign w:val="center"/>
          </w:tcPr>
          <w:p>
            <w:pPr>
              <w:spacing w:line="320" w:lineRule="exac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夏秋</w:t>
            </w:r>
          </w:p>
        </w:tc>
        <w:tc>
          <w:tcPr>
            <w:tcW w:w="1370" w:type="dxa"/>
            <w:gridSpan w:val="3"/>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考查</w:t>
            </w:r>
          </w:p>
        </w:tc>
        <w:tc>
          <w:tcPr>
            <w:tcW w:w="1453"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化学、材料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030K0117</w:t>
            </w:r>
          </w:p>
        </w:tc>
        <w:tc>
          <w:tcPr>
            <w:tcW w:w="2685" w:type="dxa"/>
            <w:gridSpan w:val="2"/>
            <w:vAlign w:val="center"/>
          </w:tcPr>
          <w:p>
            <w:pPr>
              <w:widowControl/>
              <w:spacing w:line="320" w:lineRule="exact"/>
              <w:jc w:val="left"/>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海水淡化与膜分离技术</w:t>
            </w:r>
          </w:p>
        </w:tc>
        <w:tc>
          <w:tcPr>
            <w:tcW w:w="1075" w:type="dxa"/>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s="宋体"/>
                <w:color w:val="auto"/>
                <w:kern w:val="0"/>
                <w:sz w:val="18"/>
                <w:szCs w:val="18"/>
                <w:highlight w:val="none"/>
              </w:rPr>
              <w:t>2</w:t>
            </w:r>
          </w:p>
        </w:tc>
        <w:tc>
          <w:tcPr>
            <w:tcW w:w="78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夏秋</w:t>
            </w:r>
          </w:p>
        </w:tc>
        <w:tc>
          <w:tcPr>
            <w:tcW w:w="1370" w:type="dxa"/>
            <w:gridSpan w:val="3"/>
            <w:vAlign w:val="center"/>
          </w:tcPr>
          <w:p>
            <w:pPr>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考查</w:t>
            </w:r>
          </w:p>
        </w:tc>
        <w:tc>
          <w:tcPr>
            <w:tcW w:w="1453"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94" w:type="dxa"/>
            <w:vMerge w:val="continue"/>
            <w:vAlign w:val="center"/>
          </w:tcPr>
          <w:p>
            <w:pPr>
              <w:spacing w:line="320" w:lineRule="exact"/>
              <w:jc w:val="center"/>
              <w:rPr>
                <w:rFonts w:ascii="宋体" w:hAnsi="宋体" w:eastAsia="宋体" w:cs="宋体"/>
                <w:color w:val="auto"/>
                <w:spacing w:val="11"/>
                <w:kern w:val="0"/>
                <w:sz w:val="18"/>
                <w:szCs w:val="18"/>
                <w:highlight w:val="none"/>
              </w:rPr>
            </w:pPr>
          </w:p>
        </w:tc>
        <w:tc>
          <w:tcPr>
            <w:tcW w:w="1041" w:type="dxa"/>
            <w:gridSpan w:val="2"/>
            <w:vAlign w:val="center"/>
          </w:tcPr>
          <w:p>
            <w:pPr>
              <w:widowControl/>
              <w:spacing w:line="320" w:lineRule="exact"/>
              <w:jc w:val="center"/>
              <w:rPr>
                <w:rFonts w:ascii="宋体" w:hAnsi="宋体" w:eastAsia="宋体" w:cs="宋体"/>
                <w:color w:val="auto"/>
                <w:kern w:val="0"/>
                <w:sz w:val="18"/>
                <w:szCs w:val="18"/>
                <w:highlight w:val="none"/>
              </w:rPr>
            </w:pPr>
            <w:r>
              <w:rPr>
                <w:rFonts w:hint="eastAsia" w:ascii="宋体" w:hAnsi="宋体" w:eastAsia="宋体"/>
                <w:color w:val="auto"/>
                <w:sz w:val="18"/>
                <w:szCs w:val="18"/>
                <w:highlight w:val="none"/>
              </w:rPr>
              <w:t>130K00</w:t>
            </w:r>
            <w:r>
              <w:rPr>
                <w:rFonts w:ascii="宋体" w:hAnsi="宋体" w:eastAsia="宋体"/>
                <w:color w:val="auto"/>
                <w:sz w:val="18"/>
                <w:szCs w:val="18"/>
                <w:highlight w:val="none"/>
              </w:rPr>
              <w:t>58</w:t>
            </w:r>
          </w:p>
        </w:tc>
        <w:tc>
          <w:tcPr>
            <w:tcW w:w="2685" w:type="dxa"/>
            <w:gridSpan w:val="2"/>
            <w:vAlign w:val="center"/>
          </w:tcPr>
          <w:p>
            <w:pPr>
              <w:widowControl/>
              <w:spacing w:line="320" w:lineRule="exact"/>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环保土工材料</w:t>
            </w:r>
          </w:p>
        </w:tc>
        <w:tc>
          <w:tcPr>
            <w:tcW w:w="1075" w:type="dxa"/>
            <w:vAlign w:val="center"/>
          </w:tcPr>
          <w:p>
            <w:pPr>
              <w:spacing w:line="320" w:lineRule="exac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780" w:type="dxa"/>
            <w:vAlign w:val="center"/>
          </w:tcPr>
          <w:p>
            <w:pPr>
              <w:spacing w:line="320" w:lineRule="exac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夏秋</w:t>
            </w:r>
          </w:p>
        </w:tc>
        <w:tc>
          <w:tcPr>
            <w:tcW w:w="1370" w:type="dxa"/>
            <w:gridSpan w:val="3"/>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选修</w:t>
            </w:r>
          </w:p>
        </w:tc>
        <w:tc>
          <w:tcPr>
            <w:tcW w:w="730" w:type="dxa"/>
            <w:vAlign w:val="center"/>
          </w:tcPr>
          <w:p>
            <w:pPr>
              <w:spacing w:line="320" w:lineRule="exact"/>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考查</w:t>
            </w:r>
          </w:p>
        </w:tc>
        <w:tc>
          <w:tcPr>
            <w:tcW w:w="1453" w:type="dxa"/>
            <w:vAlign w:val="center"/>
          </w:tcPr>
          <w:p>
            <w:pPr>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环科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794" w:type="dxa"/>
            <w:vMerge w:val="restart"/>
            <w:vAlign w:val="center"/>
          </w:tcPr>
          <w:p>
            <w:pPr>
              <w:widowControl/>
              <w:spacing w:line="320" w:lineRule="exact"/>
              <w:jc w:val="center"/>
              <w:rPr>
                <w:rFonts w:ascii="宋体" w:hAnsi="宋体" w:eastAsia="宋体" w:cs="宋体"/>
                <w:bCs/>
                <w:color w:val="auto"/>
                <w:spacing w:val="11"/>
                <w:kern w:val="0"/>
                <w:sz w:val="18"/>
                <w:szCs w:val="18"/>
                <w:highlight w:val="none"/>
              </w:rPr>
            </w:pPr>
            <w:r>
              <w:rPr>
                <w:rFonts w:hint="eastAsia" w:ascii="宋体" w:hAnsi="宋体" w:eastAsia="宋体" w:cs="宋体"/>
                <w:bCs/>
                <w:color w:val="auto"/>
                <w:spacing w:val="11"/>
                <w:kern w:val="0"/>
                <w:sz w:val="18"/>
                <w:szCs w:val="18"/>
                <w:highlight w:val="none"/>
              </w:rPr>
              <w:t>跨专业课程：</w:t>
            </w:r>
          </w:p>
          <w:p>
            <w:pPr>
              <w:widowControl/>
              <w:spacing w:line="320" w:lineRule="exact"/>
              <w:jc w:val="center"/>
              <w:rPr>
                <w:rFonts w:ascii="宋体" w:hAnsi="宋体" w:eastAsia="宋体" w:cs="宋体"/>
                <w:color w:val="auto"/>
                <w:spacing w:val="11"/>
                <w:kern w:val="0"/>
                <w:sz w:val="18"/>
                <w:szCs w:val="18"/>
                <w:highlight w:val="none"/>
              </w:rPr>
            </w:pPr>
            <w:r>
              <w:rPr>
                <w:rFonts w:ascii="宋体" w:hAnsi="宋体" w:eastAsia="宋体"/>
                <w:bCs/>
                <w:color w:val="auto"/>
                <w:spacing w:val="11"/>
                <w:kern w:val="0"/>
                <w:sz w:val="18"/>
                <w:szCs w:val="18"/>
                <w:highlight w:val="none"/>
              </w:rPr>
              <w:t>≥</w:t>
            </w:r>
            <w:r>
              <w:rPr>
                <w:rFonts w:ascii="宋体" w:hAnsi="宋体" w:eastAsia="宋体"/>
                <w:bCs/>
                <w:color w:val="auto"/>
                <w:spacing w:val="11"/>
                <w:kern w:val="0"/>
                <w:sz w:val="18"/>
                <w:szCs w:val="18"/>
                <w:highlight w:val="none"/>
                <w:u w:val="single"/>
              </w:rPr>
              <w:t xml:space="preserve"> 0 </w:t>
            </w:r>
            <w:r>
              <w:rPr>
                <w:rFonts w:hint="eastAsia" w:ascii="宋体" w:hAnsi="宋体" w:eastAsia="宋体" w:cs="宋体"/>
                <w:bCs/>
                <w:color w:val="auto"/>
                <w:spacing w:val="11"/>
                <w:kern w:val="0"/>
                <w:sz w:val="18"/>
                <w:szCs w:val="18"/>
                <w:highlight w:val="none"/>
              </w:rPr>
              <w:t>学分</w:t>
            </w:r>
          </w:p>
        </w:tc>
        <w:tc>
          <w:tcPr>
            <w:tcW w:w="1041" w:type="dxa"/>
            <w:gridSpan w:val="2"/>
          </w:tcPr>
          <w:p>
            <w:pPr>
              <w:spacing w:line="320" w:lineRule="exact"/>
              <w:rPr>
                <w:rFonts w:ascii="宋体" w:hAnsi="宋体" w:eastAsia="宋体" w:cs="宋体"/>
                <w:color w:val="auto"/>
                <w:spacing w:val="11"/>
                <w:kern w:val="0"/>
                <w:sz w:val="18"/>
                <w:szCs w:val="18"/>
                <w:highlight w:val="none"/>
              </w:rPr>
            </w:pPr>
          </w:p>
        </w:tc>
        <w:tc>
          <w:tcPr>
            <w:tcW w:w="2685" w:type="dxa"/>
            <w:gridSpan w:val="2"/>
          </w:tcPr>
          <w:p>
            <w:pPr>
              <w:widowControl/>
              <w:spacing w:line="320" w:lineRule="exact"/>
              <w:rPr>
                <w:rFonts w:ascii="宋体" w:hAnsi="宋体" w:eastAsia="宋体" w:cs="宋体"/>
                <w:color w:val="auto"/>
                <w:spacing w:val="11"/>
                <w:kern w:val="0"/>
                <w:sz w:val="18"/>
                <w:szCs w:val="18"/>
                <w:highlight w:val="none"/>
              </w:rPr>
            </w:pPr>
          </w:p>
        </w:tc>
        <w:tc>
          <w:tcPr>
            <w:tcW w:w="1075" w:type="dxa"/>
          </w:tcPr>
          <w:p>
            <w:pPr>
              <w:widowControl/>
              <w:spacing w:line="320" w:lineRule="exact"/>
              <w:rPr>
                <w:rFonts w:ascii="宋体" w:hAnsi="宋体" w:eastAsia="宋体" w:cs="宋体"/>
                <w:color w:val="auto"/>
                <w:spacing w:val="11"/>
                <w:kern w:val="0"/>
                <w:sz w:val="18"/>
                <w:szCs w:val="18"/>
                <w:highlight w:val="none"/>
              </w:rPr>
            </w:pPr>
          </w:p>
        </w:tc>
        <w:tc>
          <w:tcPr>
            <w:tcW w:w="780" w:type="dxa"/>
          </w:tcPr>
          <w:p>
            <w:pPr>
              <w:widowControl/>
              <w:spacing w:line="320" w:lineRule="exact"/>
              <w:rPr>
                <w:rFonts w:ascii="宋体" w:hAnsi="宋体" w:eastAsia="宋体" w:cs="宋体"/>
                <w:color w:val="auto"/>
                <w:spacing w:val="11"/>
                <w:kern w:val="0"/>
                <w:sz w:val="18"/>
                <w:szCs w:val="18"/>
                <w:highlight w:val="none"/>
              </w:rPr>
            </w:pPr>
          </w:p>
        </w:tc>
        <w:tc>
          <w:tcPr>
            <w:tcW w:w="700" w:type="dxa"/>
            <w:gridSpan w:val="2"/>
            <w:vAlign w:val="center"/>
          </w:tcPr>
          <w:p>
            <w:pPr>
              <w:spacing w:line="320" w:lineRule="exact"/>
              <w:jc w:val="center"/>
              <w:rPr>
                <w:rFonts w:ascii="宋体" w:hAnsi="宋体" w:eastAsia="宋体"/>
                <w:color w:val="auto"/>
                <w:sz w:val="18"/>
                <w:szCs w:val="18"/>
                <w:highlight w:val="none"/>
              </w:rPr>
            </w:pPr>
          </w:p>
        </w:tc>
        <w:tc>
          <w:tcPr>
            <w:tcW w:w="670" w:type="dxa"/>
          </w:tcPr>
          <w:p>
            <w:pPr>
              <w:widowControl/>
              <w:spacing w:line="320" w:lineRule="exact"/>
              <w:rPr>
                <w:rFonts w:ascii="宋体" w:hAnsi="宋体" w:eastAsia="宋体" w:cs="宋体"/>
                <w:color w:val="auto"/>
                <w:spacing w:val="11"/>
                <w:kern w:val="0"/>
                <w:sz w:val="18"/>
                <w:szCs w:val="18"/>
                <w:highlight w:val="none"/>
              </w:rPr>
            </w:pPr>
          </w:p>
        </w:tc>
        <w:tc>
          <w:tcPr>
            <w:tcW w:w="730" w:type="dxa"/>
          </w:tcPr>
          <w:p>
            <w:pPr>
              <w:widowControl/>
              <w:spacing w:line="320" w:lineRule="exact"/>
              <w:rPr>
                <w:rFonts w:ascii="宋体" w:hAnsi="宋体" w:eastAsia="宋体" w:cs="宋体"/>
                <w:color w:val="auto"/>
                <w:spacing w:val="11"/>
                <w:kern w:val="0"/>
                <w:sz w:val="18"/>
                <w:szCs w:val="18"/>
                <w:highlight w:val="none"/>
              </w:rPr>
            </w:pPr>
          </w:p>
        </w:tc>
        <w:tc>
          <w:tcPr>
            <w:tcW w:w="1453" w:type="dxa"/>
          </w:tcPr>
          <w:p>
            <w:pPr>
              <w:widowControl/>
              <w:spacing w:line="320" w:lineRule="exact"/>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由导师指导研究生选择跨专业课程的选修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794" w:type="dxa"/>
            <w:vMerge w:val="continue"/>
            <w:vAlign w:val="center"/>
          </w:tcPr>
          <w:p>
            <w:pPr>
              <w:widowControl/>
              <w:spacing w:line="320" w:lineRule="exact"/>
              <w:jc w:val="center"/>
              <w:rPr>
                <w:rFonts w:ascii="宋体" w:hAnsi="宋体" w:eastAsia="宋体" w:cs="宋体"/>
                <w:color w:val="auto"/>
                <w:spacing w:val="11"/>
                <w:kern w:val="0"/>
                <w:sz w:val="18"/>
                <w:szCs w:val="18"/>
                <w:highlight w:val="none"/>
              </w:rPr>
            </w:pPr>
          </w:p>
        </w:tc>
        <w:tc>
          <w:tcPr>
            <w:tcW w:w="1041" w:type="dxa"/>
            <w:gridSpan w:val="2"/>
          </w:tcPr>
          <w:p>
            <w:pPr>
              <w:spacing w:line="320" w:lineRule="exact"/>
              <w:rPr>
                <w:rFonts w:ascii="宋体" w:hAnsi="宋体" w:eastAsia="宋体" w:cs="宋体"/>
                <w:color w:val="auto"/>
                <w:spacing w:val="11"/>
                <w:kern w:val="0"/>
                <w:sz w:val="18"/>
                <w:szCs w:val="18"/>
                <w:highlight w:val="none"/>
              </w:rPr>
            </w:pPr>
          </w:p>
        </w:tc>
        <w:tc>
          <w:tcPr>
            <w:tcW w:w="2685" w:type="dxa"/>
            <w:gridSpan w:val="2"/>
          </w:tcPr>
          <w:p>
            <w:pPr>
              <w:widowControl/>
              <w:spacing w:line="320" w:lineRule="exact"/>
              <w:rPr>
                <w:rFonts w:ascii="宋体" w:hAnsi="宋体" w:eastAsia="宋体" w:cs="宋体"/>
                <w:color w:val="auto"/>
                <w:spacing w:val="11"/>
                <w:kern w:val="0"/>
                <w:sz w:val="18"/>
                <w:szCs w:val="18"/>
                <w:highlight w:val="none"/>
              </w:rPr>
            </w:pPr>
          </w:p>
        </w:tc>
        <w:tc>
          <w:tcPr>
            <w:tcW w:w="1075" w:type="dxa"/>
          </w:tcPr>
          <w:p>
            <w:pPr>
              <w:widowControl/>
              <w:spacing w:line="320" w:lineRule="exact"/>
              <w:rPr>
                <w:rFonts w:ascii="宋体" w:hAnsi="宋体" w:eastAsia="宋体" w:cs="宋体"/>
                <w:color w:val="auto"/>
                <w:spacing w:val="11"/>
                <w:kern w:val="0"/>
                <w:sz w:val="18"/>
                <w:szCs w:val="18"/>
                <w:highlight w:val="none"/>
              </w:rPr>
            </w:pPr>
          </w:p>
        </w:tc>
        <w:tc>
          <w:tcPr>
            <w:tcW w:w="780" w:type="dxa"/>
          </w:tcPr>
          <w:p>
            <w:pPr>
              <w:widowControl/>
              <w:spacing w:line="320" w:lineRule="exact"/>
              <w:rPr>
                <w:rFonts w:ascii="宋体" w:hAnsi="宋体" w:eastAsia="宋体" w:cs="宋体"/>
                <w:color w:val="auto"/>
                <w:spacing w:val="11"/>
                <w:kern w:val="0"/>
                <w:sz w:val="18"/>
                <w:szCs w:val="18"/>
                <w:highlight w:val="none"/>
              </w:rPr>
            </w:pPr>
          </w:p>
        </w:tc>
        <w:tc>
          <w:tcPr>
            <w:tcW w:w="700" w:type="dxa"/>
            <w:gridSpan w:val="2"/>
            <w:vAlign w:val="center"/>
          </w:tcPr>
          <w:p>
            <w:pPr>
              <w:spacing w:line="320" w:lineRule="exact"/>
              <w:jc w:val="center"/>
              <w:rPr>
                <w:rFonts w:ascii="宋体" w:hAnsi="宋体" w:eastAsia="宋体"/>
                <w:color w:val="auto"/>
                <w:sz w:val="18"/>
                <w:szCs w:val="18"/>
                <w:highlight w:val="none"/>
              </w:rPr>
            </w:pPr>
          </w:p>
        </w:tc>
        <w:tc>
          <w:tcPr>
            <w:tcW w:w="670" w:type="dxa"/>
          </w:tcPr>
          <w:p>
            <w:pPr>
              <w:widowControl/>
              <w:spacing w:line="320" w:lineRule="exact"/>
              <w:rPr>
                <w:rFonts w:ascii="宋体" w:hAnsi="宋体" w:eastAsia="宋体" w:cs="宋体"/>
                <w:color w:val="auto"/>
                <w:spacing w:val="11"/>
                <w:kern w:val="0"/>
                <w:sz w:val="18"/>
                <w:szCs w:val="18"/>
                <w:highlight w:val="none"/>
              </w:rPr>
            </w:pPr>
          </w:p>
        </w:tc>
        <w:tc>
          <w:tcPr>
            <w:tcW w:w="730" w:type="dxa"/>
          </w:tcPr>
          <w:p>
            <w:pPr>
              <w:widowControl/>
              <w:spacing w:line="320" w:lineRule="exact"/>
              <w:rPr>
                <w:rFonts w:ascii="宋体" w:hAnsi="宋体" w:eastAsia="宋体" w:cs="宋体"/>
                <w:color w:val="auto"/>
                <w:spacing w:val="11"/>
                <w:kern w:val="0"/>
                <w:sz w:val="18"/>
                <w:szCs w:val="18"/>
                <w:highlight w:val="none"/>
              </w:rPr>
            </w:pPr>
          </w:p>
        </w:tc>
        <w:tc>
          <w:tcPr>
            <w:tcW w:w="1453" w:type="dxa"/>
          </w:tcPr>
          <w:p>
            <w:pPr>
              <w:widowControl/>
              <w:spacing w:line="320" w:lineRule="exact"/>
              <w:rPr>
                <w:rFonts w:ascii="宋体" w:hAnsi="宋体" w:eastAsia="宋体" w:cs="宋体"/>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794" w:type="dxa"/>
            <w:vMerge w:val="continue"/>
            <w:vAlign w:val="center"/>
          </w:tcPr>
          <w:p>
            <w:pPr>
              <w:widowControl/>
              <w:spacing w:line="320" w:lineRule="exact"/>
              <w:jc w:val="center"/>
              <w:rPr>
                <w:rFonts w:ascii="宋体" w:hAnsi="宋体" w:eastAsia="宋体" w:cs="宋体"/>
                <w:color w:val="auto"/>
                <w:spacing w:val="11"/>
                <w:kern w:val="0"/>
                <w:sz w:val="18"/>
                <w:szCs w:val="18"/>
                <w:highlight w:val="none"/>
              </w:rPr>
            </w:pPr>
          </w:p>
        </w:tc>
        <w:tc>
          <w:tcPr>
            <w:tcW w:w="1041" w:type="dxa"/>
            <w:gridSpan w:val="2"/>
          </w:tcPr>
          <w:p>
            <w:pPr>
              <w:spacing w:line="320" w:lineRule="exact"/>
              <w:rPr>
                <w:rFonts w:ascii="宋体" w:hAnsi="宋体" w:eastAsia="宋体" w:cs="宋体"/>
                <w:color w:val="auto"/>
                <w:spacing w:val="11"/>
                <w:kern w:val="0"/>
                <w:sz w:val="18"/>
                <w:szCs w:val="18"/>
                <w:highlight w:val="none"/>
              </w:rPr>
            </w:pPr>
          </w:p>
        </w:tc>
        <w:tc>
          <w:tcPr>
            <w:tcW w:w="2685" w:type="dxa"/>
            <w:gridSpan w:val="2"/>
          </w:tcPr>
          <w:p>
            <w:pPr>
              <w:widowControl/>
              <w:spacing w:line="320" w:lineRule="exact"/>
              <w:rPr>
                <w:rFonts w:ascii="宋体" w:hAnsi="宋体" w:eastAsia="宋体" w:cs="宋体"/>
                <w:color w:val="auto"/>
                <w:spacing w:val="11"/>
                <w:kern w:val="0"/>
                <w:sz w:val="18"/>
                <w:szCs w:val="18"/>
                <w:highlight w:val="none"/>
              </w:rPr>
            </w:pPr>
          </w:p>
        </w:tc>
        <w:tc>
          <w:tcPr>
            <w:tcW w:w="1075" w:type="dxa"/>
          </w:tcPr>
          <w:p>
            <w:pPr>
              <w:widowControl/>
              <w:spacing w:line="320" w:lineRule="exact"/>
              <w:rPr>
                <w:rFonts w:ascii="宋体" w:hAnsi="宋体" w:eastAsia="宋体" w:cs="宋体"/>
                <w:color w:val="auto"/>
                <w:spacing w:val="11"/>
                <w:kern w:val="0"/>
                <w:sz w:val="18"/>
                <w:szCs w:val="18"/>
                <w:highlight w:val="none"/>
              </w:rPr>
            </w:pPr>
          </w:p>
        </w:tc>
        <w:tc>
          <w:tcPr>
            <w:tcW w:w="780" w:type="dxa"/>
          </w:tcPr>
          <w:p>
            <w:pPr>
              <w:widowControl/>
              <w:spacing w:line="320" w:lineRule="exact"/>
              <w:rPr>
                <w:rFonts w:ascii="宋体" w:hAnsi="宋体" w:eastAsia="宋体" w:cs="宋体"/>
                <w:color w:val="auto"/>
                <w:spacing w:val="11"/>
                <w:kern w:val="0"/>
                <w:sz w:val="18"/>
                <w:szCs w:val="18"/>
                <w:highlight w:val="none"/>
              </w:rPr>
            </w:pPr>
          </w:p>
        </w:tc>
        <w:tc>
          <w:tcPr>
            <w:tcW w:w="700" w:type="dxa"/>
            <w:gridSpan w:val="2"/>
          </w:tcPr>
          <w:p>
            <w:pPr>
              <w:widowControl/>
              <w:spacing w:line="320" w:lineRule="exact"/>
              <w:rPr>
                <w:rFonts w:ascii="宋体" w:hAnsi="宋体" w:eastAsia="宋体" w:cs="宋体"/>
                <w:color w:val="auto"/>
                <w:spacing w:val="11"/>
                <w:kern w:val="0"/>
                <w:sz w:val="18"/>
                <w:szCs w:val="18"/>
                <w:highlight w:val="none"/>
              </w:rPr>
            </w:pPr>
          </w:p>
        </w:tc>
        <w:tc>
          <w:tcPr>
            <w:tcW w:w="670" w:type="dxa"/>
          </w:tcPr>
          <w:p>
            <w:pPr>
              <w:widowControl/>
              <w:spacing w:line="320" w:lineRule="exact"/>
              <w:rPr>
                <w:rFonts w:ascii="宋体" w:hAnsi="宋体" w:eastAsia="宋体" w:cs="宋体"/>
                <w:color w:val="auto"/>
                <w:spacing w:val="11"/>
                <w:kern w:val="0"/>
                <w:sz w:val="18"/>
                <w:szCs w:val="18"/>
                <w:highlight w:val="none"/>
              </w:rPr>
            </w:pPr>
          </w:p>
        </w:tc>
        <w:tc>
          <w:tcPr>
            <w:tcW w:w="730" w:type="dxa"/>
          </w:tcPr>
          <w:p>
            <w:pPr>
              <w:widowControl/>
              <w:spacing w:line="320" w:lineRule="exact"/>
              <w:rPr>
                <w:rFonts w:ascii="宋体" w:hAnsi="宋体" w:eastAsia="宋体" w:cs="宋体"/>
                <w:color w:val="auto"/>
                <w:spacing w:val="11"/>
                <w:kern w:val="0"/>
                <w:sz w:val="18"/>
                <w:szCs w:val="18"/>
                <w:highlight w:val="none"/>
              </w:rPr>
            </w:pPr>
          </w:p>
        </w:tc>
        <w:tc>
          <w:tcPr>
            <w:tcW w:w="1453" w:type="dxa"/>
          </w:tcPr>
          <w:p>
            <w:pPr>
              <w:widowControl/>
              <w:spacing w:line="320" w:lineRule="exact"/>
              <w:rPr>
                <w:rFonts w:ascii="宋体" w:hAnsi="宋体" w:eastAsia="宋体" w:cs="宋体"/>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0928" w:type="dxa"/>
            <w:gridSpan w:val="12"/>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实践模块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4" w:type="dxa"/>
            <w:tcBorders>
              <w:top w:val="single" w:color="auto" w:sz="4" w:space="0"/>
            </w:tcBorders>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实践模块</w:t>
            </w:r>
          </w:p>
        </w:tc>
        <w:tc>
          <w:tcPr>
            <w:tcW w:w="1041" w:type="dxa"/>
            <w:gridSpan w:val="2"/>
            <w:tcBorders>
              <w:top w:val="single" w:color="auto" w:sz="4" w:space="0"/>
            </w:tcBorders>
            <w:vAlign w:val="center"/>
          </w:tcPr>
          <w:p>
            <w:pPr>
              <w:widowControl/>
              <w:spacing w:line="320" w:lineRule="exact"/>
              <w:jc w:val="center"/>
              <w:rPr>
                <w:rFonts w:ascii="宋体" w:hAnsi="宋体" w:eastAsia="宋体"/>
                <w:b/>
                <w:color w:val="auto"/>
                <w:spacing w:val="11"/>
                <w:kern w:val="0"/>
                <w:sz w:val="18"/>
                <w:szCs w:val="18"/>
                <w:highlight w:val="none"/>
              </w:rPr>
            </w:pPr>
            <w:r>
              <w:rPr>
                <w:rFonts w:hint="eastAsia" w:ascii="宋体" w:hAnsi="宋体" w:eastAsia="宋体"/>
                <w:b/>
                <w:color w:val="auto"/>
                <w:spacing w:val="11"/>
                <w:kern w:val="0"/>
                <w:sz w:val="18"/>
                <w:szCs w:val="18"/>
                <w:highlight w:val="none"/>
              </w:rPr>
              <w:t>博士</w:t>
            </w:r>
          </w:p>
        </w:tc>
        <w:tc>
          <w:tcPr>
            <w:tcW w:w="722" w:type="dxa"/>
            <w:tcBorders>
              <w:top w:val="single" w:color="auto" w:sz="4" w:space="0"/>
            </w:tcBorders>
            <w:vAlign w:val="center"/>
          </w:tcPr>
          <w:p>
            <w:pPr>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学分</w:t>
            </w:r>
          </w:p>
        </w:tc>
        <w:tc>
          <w:tcPr>
            <w:tcW w:w="3038" w:type="dxa"/>
            <w:gridSpan w:val="2"/>
            <w:tcBorders>
              <w:top w:val="single" w:color="auto" w:sz="4" w:space="0"/>
            </w:tcBorders>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基本内容</w:t>
            </w:r>
          </w:p>
        </w:tc>
        <w:tc>
          <w:tcPr>
            <w:tcW w:w="4333" w:type="dxa"/>
            <w:gridSpan w:val="6"/>
            <w:tcBorders>
              <w:top w:val="single" w:color="auto" w:sz="4" w:space="0"/>
            </w:tcBorders>
            <w:vAlign w:val="center"/>
          </w:tcPr>
          <w:p>
            <w:pPr>
              <w:widowControl/>
              <w:snapToGrid w:val="0"/>
              <w:spacing w:line="24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考核细则</w:t>
            </w:r>
          </w:p>
          <w:p>
            <w:pPr>
              <w:widowControl/>
              <w:snapToGrid w:val="0"/>
              <w:spacing w:line="24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（以下模块应在毕业资格审核前通过考核）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实践训练</w:t>
            </w:r>
          </w:p>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（专业实践）</w:t>
            </w:r>
          </w:p>
        </w:tc>
        <w:tc>
          <w:tcPr>
            <w:tcW w:w="1041" w:type="dxa"/>
            <w:gridSpan w:val="2"/>
            <w:vAlign w:val="center"/>
          </w:tcPr>
          <w:p>
            <w:pPr>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必修</w:t>
            </w:r>
          </w:p>
        </w:tc>
        <w:tc>
          <w:tcPr>
            <w:tcW w:w="722" w:type="dxa"/>
            <w:vAlign w:val="center"/>
          </w:tcPr>
          <w:p>
            <w:pPr>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6</w:t>
            </w:r>
          </w:p>
        </w:tc>
        <w:tc>
          <w:tcPr>
            <w:tcW w:w="3038" w:type="dxa"/>
            <w:gridSpan w:val="2"/>
            <w:vAlign w:val="center"/>
          </w:tcPr>
          <w:p>
            <w:pPr>
              <w:widowControl/>
              <w:spacing w:line="320" w:lineRule="exact"/>
              <w:jc w:val="left"/>
              <w:rPr>
                <w:rFonts w:eastAsia="宋体"/>
                <w:color w:val="auto"/>
                <w:sz w:val="18"/>
                <w:szCs w:val="18"/>
                <w:highlight w:val="none"/>
              </w:rPr>
            </w:pPr>
            <w:r>
              <w:rPr>
                <w:rFonts w:hint="eastAsia" w:ascii="宋体" w:hAnsi="宋体" w:eastAsia="宋体"/>
                <w:color w:val="auto"/>
                <w:sz w:val="18"/>
                <w:szCs w:val="18"/>
                <w:highlight w:val="none"/>
              </w:rPr>
              <w:t>进入行业领域进行充分的、高质量的专业实践。可采用集中实践与分段实践相结合的方式；具有2年及以上企业工作经历的全日制专硕生专业实践应不少于6个月，不具有2年企业工作经历的全日制专硕生专业实践时间应不少于1年，全日制博士专业实践时间应不少于2年；非全日制研究生专业实践可结合自身工作岗位任务开展。</w:t>
            </w:r>
          </w:p>
        </w:tc>
        <w:tc>
          <w:tcPr>
            <w:tcW w:w="4333" w:type="dxa"/>
            <w:gridSpan w:val="6"/>
            <w:vAlign w:val="center"/>
          </w:tcPr>
          <w:p>
            <w:pPr>
              <w:widowControl/>
              <w:snapToGrid w:val="0"/>
              <w:spacing w:line="160" w:lineRule="atLeast"/>
              <w:rPr>
                <w:rFonts w:ascii="宋体" w:hAnsi="宋体" w:eastAsia="宋体"/>
                <w:color w:val="auto"/>
                <w:sz w:val="18"/>
                <w:szCs w:val="18"/>
                <w:highlight w:val="none"/>
              </w:rPr>
            </w:pPr>
            <w:r>
              <w:rPr>
                <w:rFonts w:hint="eastAsia" w:ascii="宋体" w:hAnsi="宋体" w:eastAsia="宋体" w:cs="宋体"/>
                <w:color w:val="auto"/>
                <w:sz w:val="18"/>
                <w:szCs w:val="18"/>
                <w:highlight w:val="none"/>
              </w:rPr>
              <w:t>详见《中国海洋大学研究生实践模块和培养环节实施细则（资源与环境）》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jc w:val="center"/>
        </w:trPr>
        <w:tc>
          <w:tcPr>
            <w:tcW w:w="1794" w:type="dxa"/>
            <w:vAlign w:val="center"/>
          </w:tcPr>
          <w:p>
            <w:pPr>
              <w:widowControl/>
              <w:snapToGrid w:val="0"/>
              <w:spacing w:line="24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工程领域重大专题研讨</w:t>
            </w:r>
          </w:p>
        </w:tc>
        <w:tc>
          <w:tcPr>
            <w:tcW w:w="1041" w:type="dxa"/>
            <w:gridSpan w:val="2"/>
            <w:vAlign w:val="center"/>
          </w:tcPr>
          <w:p>
            <w:pPr>
              <w:widowControl/>
              <w:snapToGrid w:val="0"/>
              <w:jc w:val="center"/>
              <w:rPr>
                <w:rFonts w:ascii="宋体" w:hAnsi="宋体" w:eastAsia="宋体" w:cs="宋体"/>
                <w:color w:val="auto"/>
                <w:spacing w:val="11"/>
                <w:kern w:val="0"/>
                <w:sz w:val="18"/>
                <w:szCs w:val="18"/>
                <w:highlight w:val="none"/>
              </w:rPr>
            </w:pPr>
          </w:p>
          <w:p>
            <w:pPr>
              <w:widowControl/>
              <w:spacing w:line="320" w:lineRule="exact"/>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必修</w:t>
            </w:r>
          </w:p>
        </w:tc>
        <w:tc>
          <w:tcPr>
            <w:tcW w:w="722" w:type="dxa"/>
            <w:vAlign w:val="center"/>
          </w:tcPr>
          <w:p>
            <w:pPr>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color w:val="auto"/>
                <w:spacing w:val="11"/>
                <w:kern w:val="0"/>
                <w:sz w:val="18"/>
                <w:szCs w:val="18"/>
                <w:highlight w:val="none"/>
              </w:rPr>
              <w:t>1</w:t>
            </w:r>
          </w:p>
        </w:tc>
        <w:tc>
          <w:tcPr>
            <w:tcW w:w="3038" w:type="dxa"/>
            <w:gridSpan w:val="2"/>
            <w:vAlign w:val="center"/>
          </w:tcPr>
          <w:p>
            <w:pPr>
              <w:widowControl/>
              <w:snapToGrid w:val="0"/>
              <w:spacing w:line="240" w:lineRule="exact"/>
              <w:rPr>
                <w:rFonts w:ascii="宋体" w:hAnsi="宋体" w:eastAsia="宋体"/>
                <w:color w:val="auto"/>
                <w:sz w:val="18"/>
                <w:szCs w:val="18"/>
                <w:highlight w:val="none"/>
              </w:rPr>
            </w:pPr>
            <w:r>
              <w:rPr>
                <w:rFonts w:hint="eastAsia" w:ascii="宋体" w:hAnsi="宋体" w:eastAsia="宋体"/>
                <w:color w:val="auto"/>
                <w:sz w:val="18"/>
                <w:szCs w:val="18"/>
                <w:highlight w:val="none"/>
              </w:rPr>
              <w:t>研究生在读期间全程参与相关专业重大工程项目的专题讨论或组织学术论坛至少一次，并做报告。</w:t>
            </w:r>
          </w:p>
        </w:tc>
        <w:tc>
          <w:tcPr>
            <w:tcW w:w="4333" w:type="dxa"/>
            <w:gridSpan w:val="6"/>
            <w:vAlign w:val="center"/>
          </w:tcPr>
          <w:p>
            <w:pPr>
              <w:widowControl/>
              <w:spacing w:line="320" w:lineRule="exact"/>
              <w:rPr>
                <w:color w:val="auto"/>
                <w:sz w:val="18"/>
                <w:szCs w:val="18"/>
                <w:highlight w:val="none"/>
              </w:rPr>
            </w:pPr>
            <w:r>
              <w:rPr>
                <w:rFonts w:hint="eastAsia" w:ascii="宋体" w:hAnsi="宋体" w:eastAsia="宋体" w:cs="宋体"/>
                <w:color w:val="auto"/>
                <w:sz w:val="18"/>
                <w:szCs w:val="18"/>
                <w:highlight w:val="none"/>
              </w:rPr>
              <w:t>详见《中国海洋大学研究生实践模块和培养环节实施细则（资源与环境）》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0928" w:type="dxa"/>
            <w:gridSpan w:val="12"/>
            <w:vAlign w:val="center"/>
          </w:tcPr>
          <w:p>
            <w:pPr>
              <w:widowControl/>
              <w:spacing w:line="320" w:lineRule="exact"/>
              <w:jc w:val="center"/>
              <w:rPr>
                <w:color w:val="auto"/>
                <w:sz w:val="18"/>
                <w:szCs w:val="18"/>
                <w:highlight w:val="none"/>
              </w:rPr>
            </w:pPr>
            <w:r>
              <w:rPr>
                <w:rFonts w:ascii="宋体" w:hAnsi="宋体" w:eastAsia="宋体" w:cs="宋体"/>
                <w:b/>
                <w:color w:val="auto"/>
                <w:spacing w:val="11"/>
                <w:kern w:val="0"/>
                <w:sz w:val="18"/>
                <w:szCs w:val="18"/>
                <w:highlight w:val="none"/>
              </w:rPr>
              <w:t>培养环节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pPr>
              <w:widowControl/>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b/>
                <w:color w:val="auto"/>
                <w:spacing w:val="11"/>
                <w:kern w:val="0"/>
                <w:sz w:val="18"/>
                <w:szCs w:val="18"/>
                <w:highlight w:val="none"/>
              </w:rPr>
              <w:t>环节</w:t>
            </w:r>
          </w:p>
        </w:tc>
        <w:tc>
          <w:tcPr>
            <w:tcW w:w="989" w:type="dxa"/>
            <w:vAlign w:val="center"/>
          </w:tcPr>
          <w:p>
            <w:pPr>
              <w:widowControl/>
              <w:spacing w:line="320" w:lineRule="exact"/>
              <w:jc w:val="center"/>
              <w:rPr>
                <w:rFonts w:ascii="宋体" w:hAnsi="宋体" w:eastAsia="宋体" w:cs="宋体"/>
                <w:color w:val="auto"/>
                <w:sz w:val="18"/>
                <w:szCs w:val="18"/>
                <w:highlight w:val="none"/>
              </w:rPr>
            </w:pPr>
            <w:r>
              <w:rPr>
                <w:rFonts w:hint="eastAsia" w:ascii="宋体" w:hAnsi="宋体" w:eastAsia="宋体"/>
                <w:b/>
                <w:color w:val="auto"/>
                <w:spacing w:val="11"/>
                <w:kern w:val="0"/>
                <w:sz w:val="18"/>
                <w:szCs w:val="18"/>
                <w:highlight w:val="none"/>
              </w:rPr>
              <w:t>博士</w:t>
            </w:r>
          </w:p>
        </w:tc>
        <w:tc>
          <w:tcPr>
            <w:tcW w:w="774" w:type="dxa"/>
            <w:gridSpan w:val="2"/>
            <w:vAlign w:val="center"/>
          </w:tcPr>
          <w:p>
            <w:pPr>
              <w:spacing w:line="320" w:lineRule="exact"/>
              <w:jc w:val="center"/>
              <w:rPr>
                <w:rFonts w:ascii="宋体" w:hAnsi="宋体" w:eastAsia="宋体" w:cs="宋体"/>
                <w:color w:val="auto"/>
                <w:spacing w:val="11"/>
                <w:kern w:val="0"/>
                <w:sz w:val="18"/>
                <w:szCs w:val="18"/>
                <w:highlight w:val="none"/>
              </w:rPr>
            </w:pPr>
            <w:r>
              <w:rPr>
                <w:rFonts w:hint="eastAsia" w:ascii="宋体" w:hAnsi="宋体" w:eastAsia="宋体" w:cs="宋体"/>
                <w:b/>
                <w:color w:val="auto"/>
                <w:spacing w:val="11"/>
                <w:kern w:val="0"/>
                <w:sz w:val="18"/>
                <w:szCs w:val="18"/>
                <w:highlight w:val="none"/>
              </w:rPr>
              <w:t>学分</w:t>
            </w:r>
          </w:p>
        </w:tc>
        <w:tc>
          <w:tcPr>
            <w:tcW w:w="4473" w:type="dxa"/>
            <w:gridSpan w:val="4"/>
            <w:vAlign w:val="center"/>
          </w:tcPr>
          <w:p>
            <w:pPr>
              <w:widowControl/>
              <w:spacing w:line="320" w:lineRule="exact"/>
              <w:jc w:val="center"/>
              <w:rPr>
                <w:color w:val="auto"/>
                <w:sz w:val="18"/>
                <w:szCs w:val="18"/>
                <w:highlight w:val="none"/>
              </w:rPr>
            </w:pPr>
            <w:r>
              <w:rPr>
                <w:rFonts w:hint="eastAsia" w:ascii="宋体" w:hAnsi="宋体" w:eastAsia="宋体" w:cs="宋体"/>
                <w:b/>
                <w:color w:val="auto"/>
                <w:spacing w:val="11"/>
                <w:kern w:val="0"/>
                <w:sz w:val="18"/>
                <w:szCs w:val="18"/>
                <w:highlight w:val="none"/>
              </w:rPr>
              <w:t>基本内容</w:t>
            </w:r>
          </w:p>
        </w:tc>
        <w:tc>
          <w:tcPr>
            <w:tcW w:w="2898" w:type="dxa"/>
            <w:gridSpan w:val="4"/>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b/>
                <w:color w:val="auto"/>
                <w:spacing w:val="11"/>
                <w:kern w:val="0"/>
                <w:sz w:val="18"/>
                <w:szCs w:val="18"/>
                <w:highlight w:val="none"/>
              </w:rPr>
              <w:t>考核细则</w:t>
            </w:r>
          </w:p>
          <w:p>
            <w:pPr>
              <w:widowControl/>
              <w:snapToGrid w:val="0"/>
              <w:spacing w:line="24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（以下除学位论文答辩之外的环节应在毕业资格审核前通过考核）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color w:val="auto"/>
                <w:spacing w:val="11"/>
                <w:kern w:val="0"/>
                <w:sz w:val="18"/>
                <w:szCs w:val="18"/>
                <w:highlight w:val="none"/>
              </w:rPr>
              <w:t>学科综合考试</w:t>
            </w:r>
          </w:p>
        </w:tc>
        <w:tc>
          <w:tcPr>
            <w:tcW w:w="989" w:type="dxa"/>
            <w:vAlign w:val="center"/>
          </w:tcPr>
          <w:p>
            <w:pPr>
              <w:widowControl/>
              <w:snapToGrid w:val="0"/>
              <w:jc w:val="center"/>
              <w:rPr>
                <w:rFonts w:ascii="宋体" w:hAnsi="宋体" w:eastAsia="宋体" w:cs="宋体"/>
                <w:color w:val="auto"/>
                <w:spacing w:val="11"/>
                <w:kern w:val="0"/>
                <w:sz w:val="18"/>
                <w:szCs w:val="18"/>
                <w:highlight w:val="none"/>
              </w:rPr>
            </w:pPr>
          </w:p>
          <w:p>
            <w:pPr>
              <w:widowControl/>
              <w:spacing w:line="320" w:lineRule="exact"/>
              <w:jc w:val="center"/>
              <w:rPr>
                <w:rFonts w:ascii="宋体" w:hAnsi="宋体" w:eastAsia="宋体"/>
                <w:b/>
                <w:color w:val="auto"/>
                <w:spacing w:val="11"/>
                <w:kern w:val="0"/>
                <w:sz w:val="18"/>
                <w:szCs w:val="18"/>
                <w:highlight w:val="none"/>
              </w:rPr>
            </w:pPr>
            <w:r>
              <w:rPr>
                <w:rFonts w:hint="eastAsia" w:ascii="宋体" w:hAnsi="宋体" w:eastAsia="宋体" w:cs="宋体"/>
                <w:color w:val="auto"/>
                <w:sz w:val="18"/>
                <w:szCs w:val="18"/>
                <w:highlight w:val="none"/>
              </w:rPr>
              <w:t>必修</w:t>
            </w:r>
          </w:p>
        </w:tc>
        <w:tc>
          <w:tcPr>
            <w:tcW w:w="774" w:type="dxa"/>
            <w:gridSpan w:val="2"/>
            <w:vAlign w:val="center"/>
          </w:tcPr>
          <w:p>
            <w:pPr>
              <w:spacing w:line="320" w:lineRule="exact"/>
              <w:jc w:val="center"/>
              <w:rPr>
                <w:rFonts w:ascii="宋体" w:hAnsi="宋体" w:eastAsia="宋体" w:cs="宋体"/>
                <w:b/>
                <w:color w:val="auto"/>
                <w:spacing w:val="11"/>
                <w:kern w:val="0"/>
                <w:sz w:val="18"/>
                <w:szCs w:val="18"/>
                <w:highlight w:val="none"/>
              </w:rPr>
            </w:pPr>
            <w:r>
              <w:rPr>
                <w:rFonts w:ascii="宋体" w:hAnsi="宋体" w:eastAsia="宋体" w:cs="宋体"/>
                <w:color w:val="auto"/>
                <w:spacing w:val="11"/>
                <w:kern w:val="0"/>
                <w:sz w:val="18"/>
                <w:szCs w:val="18"/>
                <w:highlight w:val="none"/>
              </w:rPr>
              <w:t>1</w:t>
            </w:r>
          </w:p>
        </w:tc>
        <w:tc>
          <w:tcPr>
            <w:tcW w:w="4473" w:type="dxa"/>
            <w:gridSpan w:val="4"/>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掌握学科基础和专业知识情况；综合分析和解决问题能力；创新性思维与团队意识</w:t>
            </w:r>
          </w:p>
        </w:tc>
        <w:tc>
          <w:tcPr>
            <w:tcW w:w="2898" w:type="dxa"/>
            <w:gridSpan w:val="4"/>
            <w:vMerge w:val="restart"/>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s="宋体"/>
                <w:color w:val="auto"/>
                <w:sz w:val="18"/>
                <w:szCs w:val="18"/>
                <w:highlight w:val="none"/>
              </w:rPr>
              <w:t>详见《中国海洋大学研究生实践模块和培养环节实施细则（资源与环境）》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开题报告</w:t>
            </w:r>
          </w:p>
        </w:tc>
        <w:tc>
          <w:tcPr>
            <w:tcW w:w="989" w:type="dxa"/>
            <w:vAlign w:val="center"/>
          </w:tcPr>
          <w:p>
            <w:pPr>
              <w:widowControl/>
              <w:snapToGrid w:val="0"/>
              <w:jc w:val="center"/>
              <w:rPr>
                <w:rFonts w:ascii="宋体" w:hAnsi="宋体" w:eastAsia="宋体" w:cs="宋体"/>
                <w:color w:val="auto"/>
                <w:spacing w:val="11"/>
                <w:kern w:val="0"/>
                <w:sz w:val="18"/>
                <w:szCs w:val="18"/>
                <w:highlight w:val="none"/>
              </w:rPr>
            </w:pPr>
          </w:p>
          <w:p>
            <w:pPr>
              <w:widowControl/>
              <w:spacing w:line="320" w:lineRule="exact"/>
              <w:jc w:val="center"/>
              <w:rPr>
                <w:rFonts w:ascii="宋体" w:hAnsi="宋体" w:eastAsia="宋体"/>
                <w:b/>
                <w:color w:val="auto"/>
                <w:spacing w:val="11"/>
                <w:kern w:val="0"/>
                <w:sz w:val="18"/>
                <w:szCs w:val="18"/>
                <w:highlight w:val="none"/>
              </w:rPr>
            </w:pPr>
            <w:r>
              <w:rPr>
                <w:rFonts w:hint="eastAsia" w:ascii="宋体" w:hAnsi="宋体" w:eastAsia="宋体" w:cs="宋体"/>
                <w:color w:val="auto"/>
                <w:sz w:val="18"/>
                <w:szCs w:val="18"/>
                <w:highlight w:val="none"/>
              </w:rPr>
              <w:t>必修</w:t>
            </w:r>
          </w:p>
        </w:tc>
        <w:tc>
          <w:tcPr>
            <w:tcW w:w="774" w:type="dxa"/>
            <w:gridSpan w:val="2"/>
            <w:vAlign w:val="center"/>
          </w:tcPr>
          <w:p>
            <w:pPr>
              <w:spacing w:line="320" w:lineRule="exact"/>
              <w:jc w:val="center"/>
              <w:rPr>
                <w:rFonts w:ascii="宋体" w:hAnsi="宋体" w:eastAsia="宋体" w:cs="宋体"/>
                <w:b/>
                <w:color w:val="auto"/>
                <w:spacing w:val="11"/>
                <w:kern w:val="0"/>
                <w:sz w:val="18"/>
                <w:szCs w:val="18"/>
                <w:highlight w:val="none"/>
              </w:rPr>
            </w:pPr>
            <w:r>
              <w:rPr>
                <w:rFonts w:ascii="宋体" w:hAnsi="宋体" w:eastAsia="宋体" w:cs="宋体"/>
                <w:color w:val="auto"/>
                <w:spacing w:val="11"/>
                <w:kern w:val="0"/>
                <w:sz w:val="18"/>
                <w:szCs w:val="18"/>
                <w:highlight w:val="none"/>
              </w:rPr>
              <w:t>1</w:t>
            </w:r>
          </w:p>
        </w:tc>
        <w:tc>
          <w:tcPr>
            <w:tcW w:w="4473" w:type="dxa"/>
            <w:gridSpan w:val="4"/>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包括：①</w:t>
            </w:r>
            <w:r>
              <w:rPr>
                <w:rFonts w:hint="eastAsia" w:ascii="宋体" w:hAnsi="宋体" w:eastAsia="宋体"/>
                <w:color w:val="auto"/>
                <w:sz w:val="18"/>
                <w:szCs w:val="18"/>
                <w:highlight w:val="none"/>
                <w:lang w:bidi="ar"/>
              </w:rPr>
              <w:t>文献综述</w:t>
            </w:r>
            <w:r>
              <w:rPr>
                <w:rFonts w:hint="eastAsia" w:ascii="宋体" w:hAnsi="宋体" w:eastAsia="宋体"/>
                <w:color w:val="auto"/>
                <w:sz w:val="18"/>
                <w:szCs w:val="18"/>
                <w:highlight w:val="none"/>
              </w:rPr>
              <w:t>；②</w:t>
            </w:r>
            <w:r>
              <w:rPr>
                <w:rFonts w:hint="eastAsia" w:ascii="宋体" w:hAnsi="宋体" w:eastAsia="宋体"/>
                <w:color w:val="auto"/>
                <w:sz w:val="18"/>
                <w:szCs w:val="18"/>
                <w:highlight w:val="none"/>
                <w:lang w:bidi="ar"/>
              </w:rPr>
              <w:t>选题背景及其意义</w:t>
            </w:r>
            <w:r>
              <w:rPr>
                <w:rFonts w:hint="eastAsia" w:ascii="宋体" w:hAnsi="宋体" w:eastAsia="宋体"/>
                <w:color w:val="auto"/>
                <w:sz w:val="18"/>
                <w:szCs w:val="18"/>
                <w:highlight w:val="none"/>
              </w:rPr>
              <w:t>；③</w:t>
            </w:r>
            <w:r>
              <w:rPr>
                <w:rFonts w:hint="eastAsia" w:ascii="宋体" w:hAnsi="宋体" w:eastAsia="宋体"/>
                <w:color w:val="auto"/>
                <w:sz w:val="18"/>
                <w:szCs w:val="18"/>
                <w:highlight w:val="none"/>
                <w:lang w:bidi="ar"/>
              </w:rPr>
              <w:t>研究内容</w:t>
            </w:r>
            <w:r>
              <w:rPr>
                <w:rFonts w:hint="eastAsia" w:ascii="宋体" w:hAnsi="宋体" w:eastAsia="宋体"/>
                <w:color w:val="auto"/>
                <w:sz w:val="18"/>
                <w:szCs w:val="18"/>
                <w:highlight w:val="none"/>
              </w:rPr>
              <w:t>；④</w:t>
            </w:r>
            <w:r>
              <w:rPr>
                <w:rFonts w:hint="eastAsia" w:ascii="宋体" w:hAnsi="宋体" w:eastAsia="宋体"/>
                <w:color w:val="auto"/>
                <w:sz w:val="18"/>
                <w:szCs w:val="18"/>
                <w:highlight w:val="none"/>
                <w:lang w:bidi="ar"/>
              </w:rPr>
              <w:t>工作特色及难点</w:t>
            </w:r>
            <w:r>
              <w:rPr>
                <w:rFonts w:hint="eastAsia" w:ascii="宋体" w:hAnsi="宋体" w:eastAsia="宋体"/>
                <w:color w:val="auto"/>
                <w:sz w:val="18"/>
                <w:szCs w:val="18"/>
                <w:highlight w:val="none"/>
              </w:rPr>
              <w:t>；</w:t>
            </w:r>
            <w:r>
              <w:rPr>
                <w:rFonts w:ascii="宋体" w:hAnsi="宋体" w:eastAsia="宋体"/>
                <w:color w:val="auto"/>
                <w:sz w:val="18"/>
                <w:szCs w:val="18"/>
                <w:highlight w:val="none"/>
              </w:rPr>
              <w:fldChar w:fldCharType="begin"/>
            </w:r>
            <w:r>
              <w:rPr>
                <w:rFonts w:ascii="宋体" w:hAnsi="宋体" w:eastAsia="宋体"/>
                <w:color w:val="auto"/>
                <w:sz w:val="18"/>
                <w:szCs w:val="18"/>
                <w:highlight w:val="none"/>
              </w:rPr>
              <w:instrText xml:space="preserve"> </w:instrText>
            </w:r>
            <w:r>
              <w:rPr>
                <w:rFonts w:hint="eastAsia" w:ascii="宋体" w:hAnsi="宋体" w:eastAsia="宋体"/>
                <w:color w:val="auto"/>
                <w:sz w:val="18"/>
                <w:szCs w:val="18"/>
                <w:highlight w:val="none"/>
              </w:rPr>
              <w:instrText xml:space="preserve">eq \o\ac(○,5)</w:instrText>
            </w:r>
            <w:r>
              <w:rPr>
                <w:rFonts w:ascii="宋体" w:hAnsi="宋体" w:eastAsia="宋体"/>
                <w:color w:val="auto"/>
                <w:sz w:val="18"/>
                <w:szCs w:val="18"/>
                <w:highlight w:val="none"/>
              </w:rPr>
              <w:fldChar w:fldCharType="end"/>
            </w:r>
            <w:r>
              <w:rPr>
                <w:rFonts w:hint="eastAsia" w:ascii="宋体" w:hAnsi="宋体" w:eastAsia="宋体"/>
                <w:color w:val="auto"/>
                <w:sz w:val="18"/>
                <w:szCs w:val="18"/>
                <w:highlight w:val="none"/>
                <w:lang w:bidi="ar"/>
              </w:rPr>
              <w:t>预期成果及可能的创新点</w:t>
            </w:r>
            <w:r>
              <w:rPr>
                <w:rFonts w:hint="eastAsia" w:ascii="宋体" w:hAnsi="宋体" w:eastAsia="宋体"/>
                <w:color w:val="auto"/>
                <w:sz w:val="18"/>
                <w:szCs w:val="18"/>
                <w:highlight w:val="none"/>
              </w:rPr>
              <w:t>等。</w:t>
            </w:r>
          </w:p>
        </w:tc>
        <w:tc>
          <w:tcPr>
            <w:tcW w:w="2898" w:type="dxa"/>
            <w:gridSpan w:val="4"/>
            <w:vMerge w:val="continue"/>
            <w:vAlign w:val="center"/>
          </w:tcPr>
          <w:p>
            <w:pPr>
              <w:widowControl/>
              <w:spacing w:line="320" w:lineRule="exact"/>
              <w:jc w:val="center"/>
              <w:rPr>
                <w:rFonts w:ascii="宋体" w:hAnsi="宋体" w:eastAsia="宋体" w:cs="宋体"/>
                <w:b/>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工程技术</w:t>
            </w:r>
          </w:p>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结题报告</w:t>
            </w:r>
          </w:p>
        </w:tc>
        <w:tc>
          <w:tcPr>
            <w:tcW w:w="989" w:type="dxa"/>
            <w:vAlign w:val="center"/>
          </w:tcPr>
          <w:p>
            <w:pPr>
              <w:snapToGrid w:val="0"/>
              <w:jc w:val="center"/>
              <w:rPr>
                <w:rFonts w:ascii="宋体" w:hAnsi="宋体" w:eastAsia="宋体" w:cs="宋体"/>
                <w:color w:val="auto"/>
                <w:spacing w:val="11"/>
                <w:kern w:val="0"/>
                <w:sz w:val="18"/>
                <w:szCs w:val="18"/>
                <w:highlight w:val="none"/>
              </w:rPr>
            </w:pPr>
          </w:p>
          <w:p>
            <w:pPr>
              <w:widowControl/>
              <w:spacing w:line="320" w:lineRule="exact"/>
              <w:jc w:val="center"/>
              <w:rPr>
                <w:rFonts w:ascii="宋体" w:hAnsi="宋体" w:eastAsia="宋体"/>
                <w:b/>
                <w:color w:val="auto"/>
                <w:spacing w:val="11"/>
                <w:kern w:val="0"/>
                <w:sz w:val="18"/>
                <w:szCs w:val="18"/>
                <w:highlight w:val="none"/>
              </w:rPr>
            </w:pPr>
            <w:r>
              <w:rPr>
                <w:rFonts w:hint="eastAsia" w:ascii="宋体" w:hAnsi="宋体" w:eastAsia="宋体" w:cs="宋体"/>
                <w:color w:val="auto"/>
                <w:sz w:val="18"/>
                <w:szCs w:val="18"/>
                <w:highlight w:val="none"/>
              </w:rPr>
              <w:t>必修</w:t>
            </w:r>
          </w:p>
        </w:tc>
        <w:tc>
          <w:tcPr>
            <w:tcW w:w="774" w:type="dxa"/>
            <w:gridSpan w:val="2"/>
            <w:vAlign w:val="center"/>
          </w:tcPr>
          <w:p>
            <w:pPr>
              <w:spacing w:line="320" w:lineRule="exact"/>
              <w:jc w:val="center"/>
              <w:rPr>
                <w:rFonts w:ascii="宋体" w:hAnsi="宋体" w:eastAsia="宋体" w:cs="宋体"/>
                <w:b/>
                <w:color w:val="auto"/>
                <w:spacing w:val="11"/>
                <w:kern w:val="0"/>
                <w:sz w:val="18"/>
                <w:szCs w:val="18"/>
                <w:highlight w:val="none"/>
              </w:rPr>
            </w:pPr>
            <w:r>
              <w:rPr>
                <w:rFonts w:ascii="宋体" w:hAnsi="宋体" w:eastAsia="宋体" w:cs="宋体"/>
                <w:color w:val="auto"/>
                <w:spacing w:val="11"/>
                <w:kern w:val="0"/>
                <w:sz w:val="18"/>
                <w:szCs w:val="18"/>
                <w:highlight w:val="none"/>
              </w:rPr>
              <w:t>1</w:t>
            </w:r>
          </w:p>
        </w:tc>
        <w:tc>
          <w:tcPr>
            <w:tcW w:w="4473" w:type="dxa"/>
            <w:gridSpan w:val="4"/>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包括：①研究背景与工程应用价值；②研究方案；③实际工程应用实例；④取得的成果等。</w:t>
            </w:r>
          </w:p>
        </w:tc>
        <w:tc>
          <w:tcPr>
            <w:tcW w:w="2898" w:type="dxa"/>
            <w:gridSpan w:val="4"/>
            <w:vMerge w:val="continue"/>
            <w:vAlign w:val="center"/>
          </w:tcPr>
          <w:p>
            <w:pPr>
              <w:widowControl/>
              <w:spacing w:line="320" w:lineRule="exact"/>
              <w:jc w:val="center"/>
              <w:rPr>
                <w:rFonts w:ascii="宋体" w:hAnsi="宋体" w:eastAsia="宋体" w:cs="宋体"/>
                <w:b/>
                <w:color w:val="auto"/>
                <w:spacing w:val="11"/>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1794" w:type="dxa"/>
            <w:vAlign w:val="center"/>
          </w:tcPr>
          <w:p>
            <w:pPr>
              <w:widowControl/>
              <w:spacing w:line="320" w:lineRule="exact"/>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学位论文</w:t>
            </w:r>
          </w:p>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预答辩</w:t>
            </w:r>
          </w:p>
        </w:tc>
        <w:tc>
          <w:tcPr>
            <w:tcW w:w="989" w:type="dxa"/>
            <w:vAlign w:val="center"/>
          </w:tcPr>
          <w:p>
            <w:pPr>
              <w:snapToGrid w:val="0"/>
              <w:jc w:val="center"/>
              <w:rPr>
                <w:rFonts w:ascii="宋体" w:hAnsi="宋体" w:eastAsia="宋体" w:cs="宋体"/>
                <w:color w:val="auto"/>
                <w:sz w:val="18"/>
                <w:szCs w:val="18"/>
                <w:highlight w:val="none"/>
              </w:rPr>
            </w:pPr>
          </w:p>
          <w:p>
            <w:pPr>
              <w:widowControl/>
              <w:spacing w:line="320" w:lineRule="exact"/>
              <w:jc w:val="center"/>
              <w:rPr>
                <w:rFonts w:ascii="宋体" w:hAnsi="宋体" w:eastAsia="宋体"/>
                <w:b/>
                <w:color w:val="auto"/>
                <w:spacing w:val="11"/>
                <w:kern w:val="0"/>
                <w:sz w:val="18"/>
                <w:szCs w:val="18"/>
                <w:highlight w:val="none"/>
              </w:rPr>
            </w:pPr>
            <w:r>
              <w:rPr>
                <w:rFonts w:hint="eastAsia" w:ascii="宋体" w:hAnsi="宋体" w:eastAsia="宋体" w:cs="宋体"/>
                <w:color w:val="auto"/>
                <w:sz w:val="18"/>
                <w:szCs w:val="18"/>
                <w:highlight w:val="none"/>
              </w:rPr>
              <w:t>必修</w:t>
            </w:r>
          </w:p>
        </w:tc>
        <w:tc>
          <w:tcPr>
            <w:tcW w:w="774" w:type="dxa"/>
            <w:gridSpan w:val="2"/>
            <w:vAlign w:val="center"/>
          </w:tcPr>
          <w:p>
            <w:pPr>
              <w:spacing w:line="320" w:lineRule="exact"/>
              <w:jc w:val="center"/>
              <w:rPr>
                <w:rFonts w:ascii="宋体" w:hAnsi="宋体" w:eastAsia="宋体" w:cs="宋体"/>
                <w:b/>
                <w:color w:val="auto"/>
                <w:spacing w:val="11"/>
                <w:kern w:val="0"/>
                <w:sz w:val="18"/>
                <w:szCs w:val="18"/>
                <w:highlight w:val="none"/>
              </w:rPr>
            </w:pPr>
            <w:r>
              <w:rPr>
                <w:rFonts w:ascii="宋体" w:hAnsi="宋体" w:eastAsia="宋体" w:cs="宋体"/>
                <w:color w:val="auto"/>
                <w:spacing w:val="11"/>
                <w:kern w:val="0"/>
                <w:sz w:val="18"/>
                <w:szCs w:val="18"/>
                <w:highlight w:val="none"/>
              </w:rPr>
              <w:t>1</w:t>
            </w:r>
          </w:p>
        </w:tc>
        <w:tc>
          <w:tcPr>
            <w:tcW w:w="4473" w:type="dxa"/>
            <w:gridSpan w:val="4"/>
            <w:vAlign w:val="center"/>
          </w:tcPr>
          <w:p>
            <w:pPr>
              <w:widowControl/>
              <w:spacing w:line="320" w:lineRule="exact"/>
              <w:jc w:val="center"/>
              <w:rPr>
                <w:rFonts w:ascii="宋体" w:hAnsi="宋体" w:eastAsia="宋体" w:cs="宋体"/>
                <w:b/>
                <w:color w:val="auto"/>
                <w:spacing w:val="11"/>
                <w:kern w:val="0"/>
                <w:sz w:val="18"/>
                <w:szCs w:val="18"/>
                <w:highlight w:val="none"/>
              </w:rPr>
            </w:pPr>
            <w:r>
              <w:rPr>
                <w:rFonts w:hint="eastAsia" w:ascii="宋体" w:hAnsi="宋体" w:eastAsia="宋体"/>
                <w:color w:val="auto"/>
                <w:sz w:val="18"/>
                <w:szCs w:val="18"/>
                <w:highlight w:val="none"/>
              </w:rPr>
              <w:t>重点对研究的充分性、应用性</w:t>
            </w:r>
            <w:r>
              <w:rPr>
                <w:rFonts w:ascii="宋体" w:hAnsi="宋体" w:eastAsia="宋体"/>
                <w:color w:val="auto"/>
                <w:sz w:val="18"/>
                <w:szCs w:val="18"/>
                <w:highlight w:val="none"/>
              </w:rPr>
              <w:t>或</w:t>
            </w:r>
            <w:r>
              <w:rPr>
                <w:rFonts w:hint="eastAsia" w:ascii="宋体" w:hAnsi="宋体" w:eastAsia="宋体"/>
                <w:color w:val="auto"/>
                <w:sz w:val="18"/>
                <w:szCs w:val="18"/>
                <w:highlight w:val="none"/>
              </w:rPr>
              <w:t>创新性以及学位论文写作的规范性等方面进行评估和把关。</w:t>
            </w:r>
          </w:p>
        </w:tc>
        <w:tc>
          <w:tcPr>
            <w:tcW w:w="2898" w:type="dxa"/>
            <w:gridSpan w:val="4"/>
            <w:vMerge w:val="continue"/>
            <w:vAlign w:val="center"/>
          </w:tcPr>
          <w:p>
            <w:pPr>
              <w:widowControl/>
              <w:spacing w:line="320" w:lineRule="exact"/>
              <w:jc w:val="center"/>
              <w:rPr>
                <w:rFonts w:ascii="宋体" w:hAnsi="宋体" w:eastAsia="宋体" w:cs="宋体"/>
                <w:b/>
                <w:color w:val="auto"/>
                <w:spacing w:val="11"/>
                <w:kern w:val="0"/>
                <w:sz w:val="18"/>
                <w:szCs w:val="18"/>
                <w:highlight w:val="none"/>
              </w:rPr>
            </w:pPr>
          </w:p>
        </w:tc>
      </w:tr>
    </w:tbl>
    <w:p>
      <w:pPr>
        <w:jc w:val="center"/>
      </w:pPr>
      <w:r>
        <w:rPr>
          <w:rFonts w:hint="eastAsia"/>
        </w:rPr>
        <w:t>学位</w:t>
      </w:r>
      <w:r>
        <w:t>授予</w:t>
      </w:r>
    </w:p>
    <w:tbl>
      <w:tblPr>
        <w:tblStyle w:val="9"/>
        <w:tblW w:w="10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98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65" w:type="dxa"/>
            <w:vAlign w:val="center"/>
          </w:tcPr>
          <w:p>
            <w:pPr>
              <w:spacing w:line="320" w:lineRule="exact"/>
              <w:jc w:val="center"/>
              <w:rPr>
                <w:rFonts w:ascii="宋体" w:hAnsi="宋体" w:eastAsia="宋体"/>
                <w:sz w:val="18"/>
                <w:szCs w:val="18"/>
              </w:rPr>
            </w:pPr>
            <w:r>
              <w:rPr>
                <w:rFonts w:hint="eastAsia" w:ascii="宋体" w:hAnsi="宋体" w:eastAsia="宋体"/>
                <w:sz w:val="18"/>
                <w:szCs w:val="18"/>
              </w:rPr>
              <w:t>学位授予</w:t>
            </w:r>
          </w:p>
        </w:tc>
        <w:tc>
          <w:tcPr>
            <w:tcW w:w="9863" w:type="dxa"/>
            <w:vAlign w:val="center"/>
          </w:tcPr>
          <w:p>
            <w:pPr>
              <w:widowControl/>
              <w:spacing w:line="320" w:lineRule="exact"/>
              <w:ind w:firstLine="360" w:firstLineChars="200"/>
              <w:rPr>
                <w:rFonts w:ascii="宋体" w:hAnsi="宋体" w:eastAsia="宋体"/>
                <w:sz w:val="18"/>
                <w:szCs w:val="18"/>
              </w:rPr>
            </w:pPr>
          </w:p>
          <w:p>
            <w:pPr>
              <w:widowControl/>
              <w:spacing w:line="320" w:lineRule="exact"/>
              <w:ind w:firstLine="360" w:firstLineChars="200"/>
              <w:rPr>
                <w:rFonts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0928" w:type="dxa"/>
            <w:gridSpan w:val="2"/>
            <w:vAlign w:val="center"/>
          </w:tcPr>
          <w:p>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编写成员：江文胜</w:t>
            </w:r>
            <w:r>
              <w:rPr>
                <w:rFonts w:ascii="宋体" w:hAnsi="宋体" w:eastAsia="宋体"/>
                <w:spacing w:val="15"/>
                <w:kern w:val="0"/>
                <w:sz w:val="18"/>
                <w:szCs w:val="18"/>
              </w:rPr>
              <w:t>、</w:t>
            </w:r>
            <w:r>
              <w:rPr>
                <w:rFonts w:hint="eastAsia" w:ascii="宋体" w:hAnsi="宋体" w:eastAsia="宋体"/>
                <w:spacing w:val="15"/>
                <w:kern w:val="0"/>
                <w:sz w:val="18"/>
                <w:szCs w:val="18"/>
              </w:rPr>
              <w:t>高会旺</w:t>
            </w:r>
            <w:r>
              <w:rPr>
                <w:rFonts w:ascii="宋体" w:hAnsi="宋体" w:eastAsia="宋体"/>
                <w:spacing w:val="15"/>
                <w:kern w:val="0"/>
                <w:sz w:val="18"/>
                <w:szCs w:val="18"/>
              </w:rPr>
              <w:t>、李锋民、田伟君、甄毓、陈友媛、季军远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0928" w:type="dxa"/>
            <w:gridSpan w:val="2"/>
            <w:vAlign w:val="center"/>
          </w:tcPr>
          <w:p>
            <w:pPr>
              <w:widowControl/>
              <w:spacing w:line="320" w:lineRule="exact"/>
              <w:jc w:val="left"/>
              <w:rPr>
                <w:rFonts w:ascii="宋体" w:hAnsi="宋体" w:eastAsia="宋体"/>
                <w:spacing w:val="15"/>
                <w:kern w:val="0"/>
                <w:sz w:val="18"/>
                <w:szCs w:val="18"/>
              </w:rPr>
            </w:pPr>
            <w:r>
              <w:rPr>
                <w:rFonts w:hint="eastAsia" w:ascii="宋体" w:hAnsi="宋体" w:eastAsia="宋体"/>
                <w:spacing w:val="15"/>
                <w:kern w:val="0"/>
                <w:sz w:val="18"/>
                <w:szCs w:val="18"/>
              </w:rPr>
              <w:t>学院（中心）学位评定委员会主席签字：                                 学院（中心）公章：</w:t>
            </w:r>
          </w:p>
        </w:tc>
      </w:tr>
    </w:tbl>
    <w:p/>
    <w:sectPr>
      <w:pgSz w:w="11906" w:h="16838"/>
      <w:pgMar w:top="1134" w:right="1474" w:bottom="1134" w:left="1588" w:header="851" w:footer="992" w:gutter="0"/>
      <w:cols w:space="425" w:num="1"/>
      <w:docGrid w:type="line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2MjUxYmIyZmFlNGIyNjZhNDcwNjA2MGQ2NjIzYjEifQ=="/>
  </w:docVars>
  <w:rsids>
    <w:rsidRoot w:val="001818AE"/>
    <w:rsid w:val="00031451"/>
    <w:rsid w:val="000343CF"/>
    <w:rsid w:val="000A42EA"/>
    <w:rsid w:val="000D4107"/>
    <w:rsid w:val="00107DC8"/>
    <w:rsid w:val="00127E70"/>
    <w:rsid w:val="001818AE"/>
    <w:rsid w:val="001E34CD"/>
    <w:rsid w:val="00266624"/>
    <w:rsid w:val="002C27FD"/>
    <w:rsid w:val="002F3EF0"/>
    <w:rsid w:val="003A0BBD"/>
    <w:rsid w:val="00407CD1"/>
    <w:rsid w:val="004421A3"/>
    <w:rsid w:val="00453234"/>
    <w:rsid w:val="00466905"/>
    <w:rsid w:val="00564489"/>
    <w:rsid w:val="005725E1"/>
    <w:rsid w:val="005B503C"/>
    <w:rsid w:val="005D76A9"/>
    <w:rsid w:val="005F40DD"/>
    <w:rsid w:val="006277E8"/>
    <w:rsid w:val="00644A51"/>
    <w:rsid w:val="00677AE9"/>
    <w:rsid w:val="006A573A"/>
    <w:rsid w:val="006B0F3F"/>
    <w:rsid w:val="006B2CD8"/>
    <w:rsid w:val="007334F6"/>
    <w:rsid w:val="007727B3"/>
    <w:rsid w:val="00772B00"/>
    <w:rsid w:val="0077505E"/>
    <w:rsid w:val="0078487F"/>
    <w:rsid w:val="007F6F42"/>
    <w:rsid w:val="00827C69"/>
    <w:rsid w:val="008847C5"/>
    <w:rsid w:val="008B47B8"/>
    <w:rsid w:val="008D687B"/>
    <w:rsid w:val="008E6FB7"/>
    <w:rsid w:val="009272E4"/>
    <w:rsid w:val="0093214E"/>
    <w:rsid w:val="00933FDA"/>
    <w:rsid w:val="0094653D"/>
    <w:rsid w:val="00A32665"/>
    <w:rsid w:val="00A408DB"/>
    <w:rsid w:val="00A739F6"/>
    <w:rsid w:val="00A97FA0"/>
    <w:rsid w:val="00AD49D4"/>
    <w:rsid w:val="00B0123B"/>
    <w:rsid w:val="00B069E6"/>
    <w:rsid w:val="00B877F4"/>
    <w:rsid w:val="00BA597D"/>
    <w:rsid w:val="00BA6D4A"/>
    <w:rsid w:val="00CA08A6"/>
    <w:rsid w:val="00CC40F9"/>
    <w:rsid w:val="00CC4BE5"/>
    <w:rsid w:val="00D00BE0"/>
    <w:rsid w:val="00D16525"/>
    <w:rsid w:val="00D45078"/>
    <w:rsid w:val="00D453CE"/>
    <w:rsid w:val="00D76DA7"/>
    <w:rsid w:val="00E63768"/>
    <w:rsid w:val="00E7183E"/>
    <w:rsid w:val="00E87CAA"/>
    <w:rsid w:val="00EC46CF"/>
    <w:rsid w:val="00EC6821"/>
    <w:rsid w:val="00ED18DA"/>
    <w:rsid w:val="00F403B7"/>
    <w:rsid w:val="00F44B48"/>
    <w:rsid w:val="012838B9"/>
    <w:rsid w:val="01596BE7"/>
    <w:rsid w:val="01693CEA"/>
    <w:rsid w:val="021A0D5D"/>
    <w:rsid w:val="02925039"/>
    <w:rsid w:val="02E809C4"/>
    <w:rsid w:val="03397C8E"/>
    <w:rsid w:val="033F7FAA"/>
    <w:rsid w:val="03EC22D8"/>
    <w:rsid w:val="041D67FB"/>
    <w:rsid w:val="0459144D"/>
    <w:rsid w:val="04D22611"/>
    <w:rsid w:val="04DF4529"/>
    <w:rsid w:val="04F27A72"/>
    <w:rsid w:val="0549469E"/>
    <w:rsid w:val="05523F25"/>
    <w:rsid w:val="057A50DF"/>
    <w:rsid w:val="05B4670F"/>
    <w:rsid w:val="064414E6"/>
    <w:rsid w:val="067F04D1"/>
    <w:rsid w:val="071A5E6C"/>
    <w:rsid w:val="07553949"/>
    <w:rsid w:val="076E22E0"/>
    <w:rsid w:val="0790641B"/>
    <w:rsid w:val="07C45AA5"/>
    <w:rsid w:val="08205702"/>
    <w:rsid w:val="08410D3C"/>
    <w:rsid w:val="08417D34"/>
    <w:rsid w:val="08534A29"/>
    <w:rsid w:val="085C0F30"/>
    <w:rsid w:val="085F105D"/>
    <w:rsid w:val="09396062"/>
    <w:rsid w:val="09417A12"/>
    <w:rsid w:val="09494A3D"/>
    <w:rsid w:val="09500B98"/>
    <w:rsid w:val="095970DA"/>
    <w:rsid w:val="0A1B5FC2"/>
    <w:rsid w:val="0A7B687B"/>
    <w:rsid w:val="0B0908B7"/>
    <w:rsid w:val="0B365AF2"/>
    <w:rsid w:val="0B495FB0"/>
    <w:rsid w:val="0B6D1DF1"/>
    <w:rsid w:val="0B7B1E0F"/>
    <w:rsid w:val="0B7C53E3"/>
    <w:rsid w:val="0B96583E"/>
    <w:rsid w:val="0BAE3D26"/>
    <w:rsid w:val="0BE44F70"/>
    <w:rsid w:val="0BE91266"/>
    <w:rsid w:val="0BF91E7D"/>
    <w:rsid w:val="0C0E002A"/>
    <w:rsid w:val="0C3800D8"/>
    <w:rsid w:val="0C6F3D59"/>
    <w:rsid w:val="0C7D45AE"/>
    <w:rsid w:val="0C804617"/>
    <w:rsid w:val="0CAE026D"/>
    <w:rsid w:val="0CB57865"/>
    <w:rsid w:val="0CB80AA0"/>
    <w:rsid w:val="0D0B673F"/>
    <w:rsid w:val="0D320AF0"/>
    <w:rsid w:val="0D32112C"/>
    <w:rsid w:val="0D44051D"/>
    <w:rsid w:val="0E6B68F5"/>
    <w:rsid w:val="0E7F1AFA"/>
    <w:rsid w:val="0EAC3B67"/>
    <w:rsid w:val="0F597A83"/>
    <w:rsid w:val="0FD672BB"/>
    <w:rsid w:val="104C4F50"/>
    <w:rsid w:val="105D3852"/>
    <w:rsid w:val="10BC299D"/>
    <w:rsid w:val="10D7352E"/>
    <w:rsid w:val="112822F9"/>
    <w:rsid w:val="1169089A"/>
    <w:rsid w:val="116B44C3"/>
    <w:rsid w:val="117A063E"/>
    <w:rsid w:val="11965A0B"/>
    <w:rsid w:val="124D1D67"/>
    <w:rsid w:val="12BC0AE9"/>
    <w:rsid w:val="135062B4"/>
    <w:rsid w:val="13D64ABD"/>
    <w:rsid w:val="14236454"/>
    <w:rsid w:val="157A78B8"/>
    <w:rsid w:val="1587448E"/>
    <w:rsid w:val="15C00DA6"/>
    <w:rsid w:val="16D827EC"/>
    <w:rsid w:val="173054D4"/>
    <w:rsid w:val="17496DF4"/>
    <w:rsid w:val="175510BA"/>
    <w:rsid w:val="176320C3"/>
    <w:rsid w:val="177D0A6D"/>
    <w:rsid w:val="17BE4A0B"/>
    <w:rsid w:val="186B13C7"/>
    <w:rsid w:val="187A13EE"/>
    <w:rsid w:val="18893DF5"/>
    <w:rsid w:val="18A160E8"/>
    <w:rsid w:val="18A87AF0"/>
    <w:rsid w:val="19155093"/>
    <w:rsid w:val="19996146"/>
    <w:rsid w:val="19EB299C"/>
    <w:rsid w:val="19F44001"/>
    <w:rsid w:val="1A59210F"/>
    <w:rsid w:val="1B1A6743"/>
    <w:rsid w:val="1B721D12"/>
    <w:rsid w:val="1C0236A5"/>
    <w:rsid w:val="1C411BFE"/>
    <w:rsid w:val="1C443D0B"/>
    <w:rsid w:val="1C5B3327"/>
    <w:rsid w:val="1CAA256B"/>
    <w:rsid w:val="1D0F2A52"/>
    <w:rsid w:val="1D2A0023"/>
    <w:rsid w:val="1DB935B6"/>
    <w:rsid w:val="1DDC4502"/>
    <w:rsid w:val="1DE32D33"/>
    <w:rsid w:val="1E5912BD"/>
    <w:rsid w:val="1E5D35DA"/>
    <w:rsid w:val="1EEA0468"/>
    <w:rsid w:val="1EFF0368"/>
    <w:rsid w:val="1F2050F6"/>
    <w:rsid w:val="1F234567"/>
    <w:rsid w:val="1F2708E4"/>
    <w:rsid w:val="1F872F0B"/>
    <w:rsid w:val="1F8D237D"/>
    <w:rsid w:val="1F981821"/>
    <w:rsid w:val="1FCE6B7A"/>
    <w:rsid w:val="201C5651"/>
    <w:rsid w:val="20A223C0"/>
    <w:rsid w:val="20A975B4"/>
    <w:rsid w:val="20F952C4"/>
    <w:rsid w:val="213D70D8"/>
    <w:rsid w:val="226A598D"/>
    <w:rsid w:val="22920B33"/>
    <w:rsid w:val="236958F7"/>
    <w:rsid w:val="23CB3CF4"/>
    <w:rsid w:val="240356D1"/>
    <w:rsid w:val="24654354"/>
    <w:rsid w:val="24A24140"/>
    <w:rsid w:val="24A26E9E"/>
    <w:rsid w:val="25204019"/>
    <w:rsid w:val="253D6972"/>
    <w:rsid w:val="25A53B0D"/>
    <w:rsid w:val="25D856A7"/>
    <w:rsid w:val="261C50EF"/>
    <w:rsid w:val="266D4E06"/>
    <w:rsid w:val="26CD5514"/>
    <w:rsid w:val="26D95D3B"/>
    <w:rsid w:val="273A4146"/>
    <w:rsid w:val="27B11B81"/>
    <w:rsid w:val="27C51CE7"/>
    <w:rsid w:val="284D31F5"/>
    <w:rsid w:val="288A632D"/>
    <w:rsid w:val="28B2501B"/>
    <w:rsid w:val="28BF639C"/>
    <w:rsid w:val="290368D3"/>
    <w:rsid w:val="29067A7E"/>
    <w:rsid w:val="29113CBA"/>
    <w:rsid w:val="29424221"/>
    <w:rsid w:val="29475630"/>
    <w:rsid w:val="29634D0F"/>
    <w:rsid w:val="29946D3C"/>
    <w:rsid w:val="29A76A39"/>
    <w:rsid w:val="29FB40EB"/>
    <w:rsid w:val="2A2F08FD"/>
    <w:rsid w:val="2A333EDD"/>
    <w:rsid w:val="2A517687"/>
    <w:rsid w:val="2AE71C72"/>
    <w:rsid w:val="2B302EF3"/>
    <w:rsid w:val="2B7B20C4"/>
    <w:rsid w:val="2C1F7AF0"/>
    <w:rsid w:val="2CEC5207"/>
    <w:rsid w:val="2D156626"/>
    <w:rsid w:val="2D2E0E26"/>
    <w:rsid w:val="2D3A1E71"/>
    <w:rsid w:val="2D5769E7"/>
    <w:rsid w:val="2D9432EB"/>
    <w:rsid w:val="2DFE2E28"/>
    <w:rsid w:val="2E1A489C"/>
    <w:rsid w:val="2E825C50"/>
    <w:rsid w:val="2EF80DA0"/>
    <w:rsid w:val="2F623E7C"/>
    <w:rsid w:val="2F98460F"/>
    <w:rsid w:val="2FA44754"/>
    <w:rsid w:val="2FA745A0"/>
    <w:rsid w:val="2FDB5486"/>
    <w:rsid w:val="2FEE2270"/>
    <w:rsid w:val="2FEF04D6"/>
    <w:rsid w:val="303B465E"/>
    <w:rsid w:val="30A220F2"/>
    <w:rsid w:val="31385CA4"/>
    <w:rsid w:val="31526E06"/>
    <w:rsid w:val="315C20B1"/>
    <w:rsid w:val="31EA0140"/>
    <w:rsid w:val="31F80866"/>
    <w:rsid w:val="32440EEB"/>
    <w:rsid w:val="32520483"/>
    <w:rsid w:val="32594BD4"/>
    <w:rsid w:val="32F645A8"/>
    <w:rsid w:val="33385B7D"/>
    <w:rsid w:val="338A3B2F"/>
    <w:rsid w:val="33D66AB6"/>
    <w:rsid w:val="33F80D77"/>
    <w:rsid w:val="342B5E0C"/>
    <w:rsid w:val="344870D0"/>
    <w:rsid w:val="34786670"/>
    <w:rsid w:val="348A2B45"/>
    <w:rsid w:val="34B36872"/>
    <w:rsid w:val="34D4378F"/>
    <w:rsid w:val="34FF7CB0"/>
    <w:rsid w:val="35237B42"/>
    <w:rsid w:val="356B4ED2"/>
    <w:rsid w:val="359E21A0"/>
    <w:rsid w:val="35D2508E"/>
    <w:rsid w:val="3607296C"/>
    <w:rsid w:val="361B1F98"/>
    <w:rsid w:val="3636021B"/>
    <w:rsid w:val="363944A0"/>
    <w:rsid w:val="367809F0"/>
    <w:rsid w:val="36AD28E8"/>
    <w:rsid w:val="36CC21B9"/>
    <w:rsid w:val="372C6C68"/>
    <w:rsid w:val="374A31CC"/>
    <w:rsid w:val="375C2150"/>
    <w:rsid w:val="376F5A5B"/>
    <w:rsid w:val="37807965"/>
    <w:rsid w:val="37EF191D"/>
    <w:rsid w:val="387A26EC"/>
    <w:rsid w:val="39AD41BB"/>
    <w:rsid w:val="39EC633B"/>
    <w:rsid w:val="39F626B2"/>
    <w:rsid w:val="3A0617B6"/>
    <w:rsid w:val="3A28118E"/>
    <w:rsid w:val="3A297210"/>
    <w:rsid w:val="3ACF247D"/>
    <w:rsid w:val="3AD04E31"/>
    <w:rsid w:val="3AD9439C"/>
    <w:rsid w:val="3B8F0958"/>
    <w:rsid w:val="3B9B0070"/>
    <w:rsid w:val="3BF926AC"/>
    <w:rsid w:val="3D853F71"/>
    <w:rsid w:val="3D990583"/>
    <w:rsid w:val="3E0D56A5"/>
    <w:rsid w:val="3E5F20B0"/>
    <w:rsid w:val="3E755FF6"/>
    <w:rsid w:val="3E764BCC"/>
    <w:rsid w:val="3E78699D"/>
    <w:rsid w:val="3E8A5667"/>
    <w:rsid w:val="3EFD7161"/>
    <w:rsid w:val="3F450160"/>
    <w:rsid w:val="3F4F77BA"/>
    <w:rsid w:val="3F7107C3"/>
    <w:rsid w:val="3F7F61E7"/>
    <w:rsid w:val="3F9E6FE9"/>
    <w:rsid w:val="3FB076D7"/>
    <w:rsid w:val="3FC53DCC"/>
    <w:rsid w:val="3FD470C4"/>
    <w:rsid w:val="401C5FFF"/>
    <w:rsid w:val="40A767E8"/>
    <w:rsid w:val="40F76365"/>
    <w:rsid w:val="40FD389D"/>
    <w:rsid w:val="41031164"/>
    <w:rsid w:val="410E75AF"/>
    <w:rsid w:val="41BB1BED"/>
    <w:rsid w:val="41D47557"/>
    <w:rsid w:val="41F66312"/>
    <w:rsid w:val="42296255"/>
    <w:rsid w:val="425A0039"/>
    <w:rsid w:val="429A738E"/>
    <w:rsid w:val="433D4591"/>
    <w:rsid w:val="43A07E6F"/>
    <w:rsid w:val="43A75962"/>
    <w:rsid w:val="441206C1"/>
    <w:rsid w:val="451B1F2B"/>
    <w:rsid w:val="459D11C9"/>
    <w:rsid w:val="45AE16A5"/>
    <w:rsid w:val="46184A2D"/>
    <w:rsid w:val="466432E5"/>
    <w:rsid w:val="46AC25F6"/>
    <w:rsid w:val="46EC308B"/>
    <w:rsid w:val="474E5F31"/>
    <w:rsid w:val="479B0897"/>
    <w:rsid w:val="47A503FB"/>
    <w:rsid w:val="47AE125C"/>
    <w:rsid w:val="47B50D01"/>
    <w:rsid w:val="480F58D7"/>
    <w:rsid w:val="481B2AD4"/>
    <w:rsid w:val="487B7BB5"/>
    <w:rsid w:val="48D818D3"/>
    <w:rsid w:val="48DD71B1"/>
    <w:rsid w:val="49BD3D16"/>
    <w:rsid w:val="49DE2A7C"/>
    <w:rsid w:val="4A7D448F"/>
    <w:rsid w:val="4AF022BB"/>
    <w:rsid w:val="4AFD0814"/>
    <w:rsid w:val="4B625A7C"/>
    <w:rsid w:val="4BB31485"/>
    <w:rsid w:val="4BBD0EAB"/>
    <w:rsid w:val="4C6C3B95"/>
    <w:rsid w:val="4CB778BC"/>
    <w:rsid w:val="4CC93BD5"/>
    <w:rsid w:val="4CD87061"/>
    <w:rsid w:val="4CEC11B2"/>
    <w:rsid w:val="4D5A2D78"/>
    <w:rsid w:val="4D6369C7"/>
    <w:rsid w:val="4D831121"/>
    <w:rsid w:val="4D9373ED"/>
    <w:rsid w:val="4E2854AD"/>
    <w:rsid w:val="4E7C3CCD"/>
    <w:rsid w:val="4EFD594F"/>
    <w:rsid w:val="4F6F288C"/>
    <w:rsid w:val="4FF34162"/>
    <w:rsid w:val="50086848"/>
    <w:rsid w:val="50212892"/>
    <w:rsid w:val="50542E1A"/>
    <w:rsid w:val="511870E0"/>
    <w:rsid w:val="515578E8"/>
    <w:rsid w:val="517B1312"/>
    <w:rsid w:val="51B927A1"/>
    <w:rsid w:val="51D87111"/>
    <w:rsid w:val="522F42EB"/>
    <w:rsid w:val="52385DF6"/>
    <w:rsid w:val="52464456"/>
    <w:rsid w:val="52464D2C"/>
    <w:rsid w:val="525B1D43"/>
    <w:rsid w:val="52762B0A"/>
    <w:rsid w:val="52A709C3"/>
    <w:rsid w:val="52F17F82"/>
    <w:rsid w:val="52FA68CC"/>
    <w:rsid w:val="53926F66"/>
    <w:rsid w:val="53BB3536"/>
    <w:rsid w:val="545D3E34"/>
    <w:rsid w:val="54860CB5"/>
    <w:rsid w:val="55440E7B"/>
    <w:rsid w:val="558F0443"/>
    <w:rsid w:val="55E455E3"/>
    <w:rsid w:val="55F16C85"/>
    <w:rsid w:val="561A5613"/>
    <w:rsid w:val="5754293E"/>
    <w:rsid w:val="57617506"/>
    <w:rsid w:val="579807D7"/>
    <w:rsid w:val="57D225C1"/>
    <w:rsid w:val="59F51D41"/>
    <w:rsid w:val="5A1E27CC"/>
    <w:rsid w:val="5A2D1716"/>
    <w:rsid w:val="5A2E29EB"/>
    <w:rsid w:val="5A6D3759"/>
    <w:rsid w:val="5A776559"/>
    <w:rsid w:val="5A7E2074"/>
    <w:rsid w:val="5B52269E"/>
    <w:rsid w:val="5B73726A"/>
    <w:rsid w:val="5B7C4A59"/>
    <w:rsid w:val="5B7E32BD"/>
    <w:rsid w:val="5BC2664D"/>
    <w:rsid w:val="5C87068D"/>
    <w:rsid w:val="5C97036A"/>
    <w:rsid w:val="5CD10014"/>
    <w:rsid w:val="5D890555"/>
    <w:rsid w:val="5E80543E"/>
    <w:rsid w:val="5EE126CB"/>
    <w:rsid w:val="5EF9440B"/>
    <w:rsid w:val="5F0B2589"/>
    <w:rsid w:val="5F100258"/>
    <w:rsid w:val="5F162EBF"/>
    <w:rsid w:val="5F3F4F8D"/>
    <w:rsid w:val="5F6624CC"/>
    <w:rsid w:val="5F920C6A"/>
    <w:rsid w:val="5FB627BB"/>
    <w:rsid w:val="5FF246BD"/>
    <w:rsid w:val="60286D23"/>
    <w:rsid w:val="611E79AD"/>
    <w:rsid w:val="61263780"/>
    <w:rsid w:val="6144385B"/>
    <w:rsid w:val="61447FA8"/>
    <w:rsid w:val="6176337E"/>
    <w:rsid w:val="6188220D"/>
    <w:rsid w:val="61B91354"/>
    <w:rsid w:val="621D3A0E"/>
    <w:rsid w:val="624E4D60"/>
    <w:rsid w:val="62D62160"/>
    <w:rsid w:val="62FF39E4"/>
    <w:rsid w:val="63F359D2"/>
    <w:rsid w:val="645E7A7F"/>
    <w:rsid w:val="645F49CF"/>
    <w:rsid w:val="648239F0"/>
    <w:rsid w:val="64A05B9C"/>
    <w:rsid w:val="64AC536D"/>
    <w:rsid w:val="65324A48"/>
    <w:rsid w:val="65E3609D"/>
    <w:rsid w:val="66521408"/>
    <w:rsid w:val="66B01F05"/>
    <w:rsid w:val="66B276D2"/>
    <w:rsid w:val="66EA5D88"/>
    <w:rsid w:val="673B648E"/>
    <w:rsid w:val="678C0061"/>
    <w:rsid w:val="67973D92"/>
    <w:rsid w:val="679D3EC9"/>
    <w:rsid w:val="67B51DB9"/>
    <w:rsid w:val="67E03898"/>
    <w:rsid w:val="68CC1B84"/>
    <w:rsid w:val="693C6F70"/>
    <w:rsid w:val="6A031D46"/>
    <w:rsid w:val="6A07703D"/>
    <w:rsid w:val="6AA312D1"/>
    <w:rsid w:val="6AB373D5"/>
    <w:rsid w:val="6AD2697D"/>
    <w:rsid w:val="6AE02151"/>
    <w:rsid w:val="6C094C57"/>
    <w:rsid w:val="6C8E45EE"/>
    <w:rsid w:val="6CA7051C"/>
    <w:rsid w:val="6D2822E5"/>
    <w:rsid w:val="6E6F745D"/>
    <w:rsid w:val="6EC81902"/>
    <w:rsid w:val="6ED47EAE"/>
    <w:rsid w:val="6EE134B0"/>
    <w:rsid w:val="6F5F7E88"/>
    <w:rsid w:val="7017473A"/>
    <w:rsid w:val="70454A96"/>
    <w:rsid w:val="70702E5F"/>
    <w:rsid w:val="707B149A"/>
    <w:rsid w:val="710B2214"/>
    <w:rsid w:val="71582EDA"/>
    <w:rsid w:val="7198147A"/>
    <w:rsid w:val="71AB3FE4"/>
    <w:rsid w:val="71AD136E"/>
    <w:rsid w:val="71EE68A1"/>
    <w:rsid w:val="72394BEC"/>
    <w:rsid w:val="723B5521"/>
    <w:rsid w:val="726625D4"/>
    <w:rsid w:val="726E6808"/>
    <w:rsid w:val="72735439"/>
    <w:rsid w:val="731F3D12"/>
    <w:rsid w:val="735F60F8"/>
    <w:rsid w:val="73996C0A"/>
    <w:rsid w:val="73E160DA"/>
    <w:rsid w:val="74B93F01"/>
    <w:rsid w:val="74EB2767"/>
    <w:rsid w:val="74FE11C6"/>
    <w:rsid w:val="75024544"/>
    <w:rsid w:val="752F7A26"/>
    <w:rsid w:val="75731BA2"/>
    <w:rsid w:val="75773826"/>
    <w:rsid w:val="75BD48C6"/>
    <w:rsid w:val="76D556F2"/>
    <w:rsid w:val="77776D75"/>
    <w:rsid w:val="77B73292"/>
    <w:rsid w:val="77BB61D7"/>
    <w:rsid w:val="77BB71CC"/>
    <w:rsid w:val="78364D44"/>
    <w:rsid w:val="787058A4"/>
    <w:rsid w:val="792E0CB9"/>
    <w:rsid w:val="799B6C53"/>
    <w:rsid w:val="79B2022F"/>
    <w:rsid w:val="7A4A158F"/>
    <w:rsid w:val="7A9E43F1"/>
    <w:rsid w:val="7B100841"/>
    <w:rsid w:val="7BA7156D"/>
    <w:rsid w:val="7C1B2E68"/>
    <w:rsid w:val="7C5F0A76"/>
    <w:rsid w:val="7C60302F"/>
    <w:rsid w:val="7CAD6EF1"/>
    <w:rsid w:val="7D063729"/>
    <w:rsid w:val="7D8E11DE"/>
    <w:rsid w:val="7DB3288D"/>
    <w:rsid w:val="7DDD1CCB"/>
    <w:rsid w:val="7E1B223D"/>
    <w:rsid w:val="7E1D2B23"/>
    <w:rsid w:val="7E5F4BC2"/>
    <w:rsid w:val="7E730FF7"/>
    <w:rsid w:val="7E926BAC"/>
    <w:rsid w:val="7ED209B2"/>
    <w:rsid w:val="7EE31F68"/>
    <w:rsid w:val="7EFD4E03"/>
    <w:rsid w:val="7F182A86"/>
    <w:rsid w:val="7F4B5660"/>
    <w:rsid w:val="7F7F15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paragraph" w:styleId="2">
    <w:name w:val="heading 1"/>
    <w:basedOn w:val="1"/>
    <w:next w:val="1"/>
    <w:link w:val="12"/>
    <w:qFormat/>
    <w:uiPriority w:val="9"/>
    <w:pPr>
      <w:keepNext/>
      <w:keepLines/>
      <w:spacing w:before="340" w:after="330" w:line="576" w:lineRule="auto"/>
      <w:outlineLvl w:val="0"/>
    </w:pPr>
    <w:rPr>
      <w:b/>
      <w:kern w:val="44"/>
      <w:sz w:val="44"/>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19"/>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标题 1 字符"/>
    <w:link w:val="2"/>
    <w:qFormat/>
    <w:uiPriority w:val="0"/>
    <w:rPr>
      <w:b/>
      <w:kern w:val="44"/>
      <w:sz w:val="44"/>
    </w:rPr>
  </w:style>
  <w:style w:type="paragraph" w:customStyle="1" w:styleId="13">
    <w:name w:val="普通(网站) Char"/>
    <w:basedOn w:val="1"/>
    <w:qFormat/>
    <w:uiPriority w:val="0"/>
    <w:pPr>
      <w:widowControl/>
      <w:spacing w:beforeAutospacing="1" w:afterAutospacing="1"/>
      <w:jc w:val="left"/>
    </w:pPr>
    <w:rPr>
      <w:rFonts w:hint="eastAsia" w:ascii="宋体" w:hAnsi="宋体" w:eastAsia="宋体"/>
      <w:kern w:val="0"/>
      <w:sz w:val="24"/>
      <w:szCs w:val="24"/>
    </w:rPr>
  </w:style>
  <w:style w:type="character" w:customStyle="1" w:styleId="14">
    <w:name w:val="页眉 字符"/>
    <w:basedOn w:val="10"/>
    <w:link w:val="6"/>
    <w:qFormat/>
    <w:uiPriority w:val="99"/>
    <w:rPr>
      <w:rFonts w:ascii="仿宋_GB2312" w:hAnsi="Times New Roman" w:eastAsia="仿宋_GB2312"/>
      <w:kern w:val="2"/>
      <w:sz w:val="18"/>
      <w:szCs w:val="18"/>
    </w:rPr>
  </w:style>
  <w:style w:type="character" w:customStyle="1" w:styleId="15">
    <w:name w:val="页脚 字符"/>
    <w:basedOn w:val="10"/>
    <w:link w:val="5"/>
    <w:qFormat/>
    <w:uiPriority w:val="99"/>
    <w:rPr>
      <w:rFonts w:ascii="仿宋_GB2312" w:hAnsi="Times New Roman" w:eastAsia="仿宋_GB2312"/>
      <w:kern w:val="2"/>
      <w:sz w:val="18"/>
      <w:szCs w:val="18"/>
    </w:rPr>
  </w:style>
  <w:style w:type="paragraph" w:customStyle="1" w:styleId="16">
    <w:name w:val="列出段落1"/>
    <w:basedOn w:val="1"/>
    <w:qFormat/>
    <w:uiPriority w:val="34"/>
    <w:pPr>
      <w:ind w:firstLine="420" w:firstLineChars="200"/>
    </w:pPr>
  </w:style>
  <w:style w:type="character" w:customStyle="1" w:styleId="17">
    <w:name w:val="批注框文本 字符"/>
    <w:basedOn w:val="10"/>
    <w:link w:val="4"/>
    <w:semiHidden/>
    <w:qFormat/>
    <w:uiPriority w:val="99"/>
    <w:rPr>
      <w:rFonts w:ascii="仿宋_GB2312" w:eastAsia="仿宋_GB2312"/>
      <w:kern w:val="2"/>
      <w:sz w:val="18"/>
      <w:szCs w:val="18"/>
    </w:rPr>
  </w:style>
  <w:style w:type="character" w:customStyle="1" w:styleId="18">
    <w:name w:val="批注文字 字符"/>
    <w:basedOn w:val="10"/>
    <w:link w:val="3"/>
    <w:semiHidden/>
    <w:qFormat/>
    <w:uiPriority w:val="99"/>
    <w:rPr>
      <w:rFonts w:ascii="仿宋_GB2312" w:eastAsia="仿宋_GB2312"/>
      <w:kern w:val="2"/>
      <w:sz w:val="32"/>
      <w:szCs w:val="32"/>
    </w:rPr>
  </w:style>
  <w:style w:type="character" w:customStyle="1" w:styleId="19">
    <w:name w:val="批注主题 字符"/>
    <w:basedOn w:val="18"/>
    <w:link w:val="8"/>
    <w:semiHidden/>
    <w:qFormat/>
    <w:uiPriority w:val="99"/>
    <w:rPr>
      <w:rFonts w:ascii="仿宋_GB2312" w:eastAsia="仿宋_GB2312"/>
      <w:b/>
      <w:bCs/>
      <w:kern w:val="2"/>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ouc</Company>
  <Pages>3</Pages>
  <Words>2943</Words>
  <Characters>3125</Characters>
  <Lines>25</Lines>
  <Paragraphs>7</Paragraphs>
  <TotalTime>13</TotalTime>
  <ScaleCrop>false</ScaleCrop>
  <LinksUpToDate>false</LinksUpToDate>
  <CharactersWithSpaces>3200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2021-06-11T02:45:00Z</dcterms:created>
  <dc:creator>chujiajie</dc:creator>
  <cp:lastModifiedBy>Admin</cp:lastModifiedBy>
  <cp:lastPrinted>2021-06-11T03:35:00Z</cp:lastPrinted>
  <dcterms:modified xsi:type="dcterms:W3CDTF">2022-06-16T02:46:31Z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BE3E222EEB184A0A8315476BAD920DDE</vt:lpwstr>
  </property>
</Properties>
</file>