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6D605">
      <w:pPr>
        <w:jc w:val="center"/>
        <w:rPr>
          <w:sz w:val="48"/>
          <w:szCs w:val="56"/>
        </w:rPr>
      </w:pPr>
    </w:p>
    <w:p w14:paraId="5C161469">
      <w:pPr>
        <w:jc w:val="center"/>
        <w:rPr>
          <w:sz w:val="48"/>
          <w:szCs w:val="56"/>
        </w:rPr>
      </w:pPr>
    </w:p>
    <w:p w14:paraId="4B56BC85">
      <w:pPr>
        <w:jc w:val="center"/>
        <w:rPr>
          <w:rFonts w:ascii="黑体" w:hAnsi="黑体" w:eastAsia="黑体" w:cs="黑体"/>
          <w:b/>
          <w:bCs/>
          <w:sz w:val="62"/>
          <w:szCs w:val="62"/>
        </w:rPr>
      </w:pPr>
      <w:r>
        <w:rPr>
          <w:rFonts w:hint="eastAsia" w:ascii="黑体" w:hAnsi="黑体" w:eastAsia="黑体" w:cs="黑体"/>
          <w:b/>
          <w:bCs/>
          <w:sz w:val="62"/>
          <w:szCs w:val="62"/>
        </w:rPr>
        <w:t>专业学位研究生</w:t>
      </w:r>
    </w:p>
    <w:p w14:paraId="5BBDE89D">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756B690B">
      <w:pPr>
        <w:jc w:val="center"/>
        <w:rPr>
          <w:b/>
          <w:bCs/>
          <w:sz w:val="52"/>
          <w:szCs w:val="72"/>
        </w:rPr>
      </w:pPr>
    </w:p>
    <w:p w14:paraId="47760077">
      <w:pPr>
        <w:jc w:val="center"/>
        <w:rPr>
          <w:sz w:val="48"/>
          <w:szCs w:val="56"/>
        </w:rPr>
      </w:pPr>
    </w:p>
    <w:p w14:paraId="7682FB63">
      <w:pPr>
        <w:jc w:val="center"/>
        <w:rPr>
          <w:sz w:val="48"/>
          <w:szCs w:val="56"/>
        </w:rPr>
      </w:pPr>
    </w:p>
    <w:p w14:paraId="3ABE6C62">
      <w:pPr>
        <w:jc w:val="center"/>
        <w:rPr>
          <w:sz w:val="48"/>
          <w:szCs w:val="56"/>
        </w:rPr>
      </w:pPr>
    </w:p>
    <w:p w14:paraId="428108E6">
      <w:pPr>
        <w:jc w:val="center"/>
        <w:rPr>
          <w:sz w:val="48"/>
          <w:szCs w:val="56"/>
        </w:rPr>
      </w:pPr>
    </w:p>
    <w:p w14:paraId="627FD6A0">
      <w:pPr>
        <w:jc w:val="center"/>
        <w:rPr>
          <w:sz w:val="48"/>
          <w:szCs w:val="56"/>
        </w:rPr>
      </w:pPr>
    </w:p>
    <w:p w14:paraId="0CEC85F2">
      <w:pPr>
        <w:jc w:val="center"/>
        <w:rPr>
          <w:sz w:val="48"/>
          <w:szCs w:val="56"/>
        </w:rPr>
      </w:pPr>
    </w:p>
    <w:p w14:paraId="0D545F6E">
      <w:pPr>
        <w:jc w:val="center"/>
        <w:rPr>
          <w:sz w:val="48"/>
          <w:szCs w:val="56"/>
        </w:rPr>
      </w:pPr>
    </w:p>
    <w:p w14:paraId="747167EA">
      <w:pPr>
        <w:ind w:firstLine="565" w:firstLineChars="157"/>
        <w:rPr>
          <w:sz w:val="36"/>
          <w:szCs w:val="44"/>
          <w:u w:val="single"/>
        </w:rPr>
      </w:pPr>
      <w:r>
        <w:rPr>
          <w:rFonts w:hint="eastAsia"/>
          <w:sz w:val="36"/>
          <w:szCs w:val="44"/>
        </w:rPr>
        <w:t>专业学位类别（领域）：</w:t>
      </w:r>
      <w:r>
        <w:rPr>
          <w:rFonts w:hint="eastAsia"/>
          <w:sz w:val="36"/>
          <w:szCs w:val="44"/>
          <w:u w:val="single"/>
        </w:rPr>
        <w:t xml:space="preserve"> 资源与环境（地质工程）</w:t>
      </w:r>
    </w:p>
    <w:p w14:paraId="306CEDB5">
      <w:pPr>
        <w:ind w:firstLine="565" w:firstLineChars="157"/>
        <w:rPr>
          <w:sz w:val="36"/>
          <w:szCs w:val="44"/>
          <w:u w:val="single"/>
        </w:rPr>
      </w:pPr>
      <w:r>
        <w:rPr>
          <w:rFonts w:hint="eastAsia"/>
          <w:sz w:val="36"/>
          <w:szCs w:val="44"/>
        </w:rPr>
        <w:t>类别 （领域） 代码：</w:t>
      </w:r>
      <w:r>
        <w:rPr>
          <w:rFonts w:hint="eastAsia"/>
          <w:sz w:val="36"/>
          <w:szCs w:val="44"/>
          <w:u w:val="single"/>
        </w:rPr>
        <w:t xml:space="preserve"> </w:t>
      </w:r>
      <w:r>
        <w:rPr>
          <w:sz w:val="36"/>
          <w:szCs w:val="44"/>
          <w:u w:val="single"/>
        </w:rPr>
        <w:t xml:space="preserve">  </w:t>
      </w:r>
      <w:r>
        <w:rPr>
          <w:rFonts w:hint="eastAsia"/>
          <w:sz w:val="36"/>
          <w:szCs w:val="44"/>
          <w:u w:val="single"/>
        </w:rPr>
        <w:t>0857（</w:t>
      </w:r>
      <w:r>
        <w:rPr>
          <w:sz w:val="36"/>
          <w:szCs w:val="44"/>
          <w:u w:val="single"/>
        </w:rPr>
        <w:t>08570</w:t>
      </w:r>
      <w:r>
        <w:rPr>
          <w:rFonts w:hint="eastAsia"/>
          <w:sz w:val="36"/>
          <w:szCs w:val="44"/>
          <w:u w:val="single"/>
        </w:rPr>
        <w:t>3）</w:t>
      </w:r>
      <w:r>
        <w:rPr>
          <w:sz w:val="36"/>
          <w:szCs w:val="44"/>
          <w:u w:val="single"/>
        </w:rPr>
        <w:t xml:space="preserve">         </w:t>
      </w:r>
      <w:r>
        <w:rPr>
          <w:rFonts w:hint="eastAsia"/>
          <w:sz w:val="36"/>
          <w:szCs w:val="44"/>
          <w:u w:val="single"/>
        </w:rPr>
        <w:t xml:space="preserve">     </w:t>
      </w:r>
    </w:p>
    <w:p w14:paraId="6C7C86CE">
      <w:pPr>
        <w:ind w:firstLine="565" w:firstLineChars="157"/>
        <w:rPr>
          <w:sz w:val="36"/>
          <w:szCs w:val="44"/>
        </w:rPr>
      </w:pPr>
      <w:r>
        <w:rPr>
          <w:rFonts w:hint="eastAsia"/>
          <w:sz w:val="36"/>
          <w:szCs w:val="44"/>
        </w:rPr>
        <w:t>授   权    级   别：</w:t>
      </w:r>
      <w:r>
        <w:rPr>
          <w:rFonts w:hint="eastAsia"/>
          <w:sz w:val="36"/>
          <w:szCs w:val="44"/>
          <w:u w:val="single"/>
        </w:rPr>
        <w:t xml:space="preserve">       硕士 </w:t>
      </w:r>
      <w:r>
        <w:rPr>
          <w:sz w:val="36"/>
          <w:szCs w:val="44"/>
          <w:u w:val="single"/>
        </w:rPr>
        <w:t xml:space="preserve">    </w:t>
      </w:r>
      <w:r>
        <w:rPr>
          <w:rFonts w:hint="eastAsia"/>
          <w:sz w:val="36"/>
          <w:szCs w:val="44"/>
          <w:u w:val="single"/>
        </w:rPr>
        <w:t xml:space="preserve">           </w:t>
      </w:r>
    </w:p>
    <w:p w14:paraId="723A05A3">
      <w:pPr>
        <w:ind w:firstLine="565" w:firstLineChars="157"/>
        <w:rPr>
          <w:sz w:val="36"/>
          <w:szCs w:val="44"/>
        </w:rPr>
      </w:pPr>
      <w:r>
        <w:rPr>
          <w:rFonts w:hint="eastAsia"/>
          <w:sz w:val="36"/>
          <w:szCs w:val="44"/>
        </w:rPr>
        <w:t>制   定    日   期：</w:t>
      </w:r>
      <w:r>
        <w:rPr>
          <w:rFonts w:hint="eastAsia"/>
          <w:sz w:val="36"/>
          <w:szCs w:val="44"/>
          <w:u w:val="single"/>
        </w:rPr>
        <w:t xml:space="preserve">   </w:t>
      </w:r>
      <w:r>
        <w:rPr>
          <w:sz w:val="36"/>
          <w:szCs w:val="44"/>
          <w:u w:val="single"/>
        </w:rPr>
        <w:t>2022</w:t>
      </w:r>
      <w:r>
        <w:rPr>
          <w:rFonts w:hint="eastAsia"/>
          <w:sz w:val="36"/>
          <w:szCs w:val="44"/>
          <w:u w:val="single"/>
        </w:rPr>
        <w:t xml:space="preserve">年6月         </w:t>
      </w:r>
      <w:r>
        <w:rPr>
          <w:sz w:val="36"/>
          <w:szCs w:val="44"/>
          <w:u w:val="single"/>
        </w:rPr>
        <w:t xml:space="preserve"> </w:t>
      </w:r>
    </w:p>
    <w:p w14:paraId="53E55F6D">
      <w:pPr>
        <w:ind w:firstLine="1800" w:firstLineChars="500"/>
        <w:rPr>
          <w:sz w:val="36"/>
          <w:szCs w:val="44"/>
        </w:rPr>
      </w:pPr>
    </w:p>
    <w:p w14:paraId="5BBC9165">
      <w:pPr>
        <w:ind w:firstLine="1800" w:firstLineChars="500"/>
        <w:rPr>
          <w:sz w:val="36"/>
          <w:szCs w:val="44"/>
        </w:rPr>
      </w:pPr>
      <w:r>
        <w:rPr>
          <w:rFonts w:hint="eastAsia"/>
          <w:sz w:val="36"/>
          <w:szCs w:val="44"/>
        </w:rPr>
        <w:t>学位评定分委员会主席签字：</w:t>
      </w:r>
    </w:p>
    <w:p w14:paraId="1AB0E270">
      <w:pPr>
        <w:ind w:firstLine="1800" w:firstLineChars="500"/>
        <w:rPr>
          <w:sz w:val="36"/>
          <w:szCs w:val="44"/>
        </w:rPr>
      </w:pPr>
      <w:r>
        <w:rPr>
          <w:rFonts w:hint="eastAsia"/>
          <w:sz w:val="36"/>
          <w:szCs w:val="44"/>
        </w:rPr>
        <w:t>学院（中心）章：</w:t>
      </w:r>
    </w:p>
    <w:p w14:paraId="2EC92087">
      <w:pPr>
        <w:rPr>
          <w:sz w:val="36"/>
          <w:szCs w:val="44"/>
        </w:rPr>
      </w:pPr>
    </w:p>
    <w:p w14:paraId="49C34F05">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42CEB7F9">
      <w:pPr>
        <w:rPr>
          <w:sz w:val="48"/>
          <w:szCs w:val="56"/>
        </w:rPr>
      </w:pP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4038"/>
        <w:gridCol w:w="2693"/>
      </w:tblGrid>
      <w:tr w14:paraId="2C21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49" w:type="pct"/>
            <w:vMerge w:val="restart"/>
            <w:vAlign w:val="center"/>
          </w:tcPr>
          <w:p w14:paraId="373484E2">
            <w:pPr>
              <w:jc w:val="center"/>
              <w:rPr>
                <w:rFonts w:ascii="黑体" w:hAnsi="黑体" w:eastAsia="黑体" w:cs="黑体"/>
                <w:b/>
                <w:bCs/>
                <w:sz w:val="28"/>
                <w:szCs w:val="28"/>
              </w:rPr>
            </w:pPr>
            <w:r>
              <w:rPr>
                <w:rFonts w:hint="eastAsia" w:ascii="黑体" w:hAnsi="黑体" w:eastAsia="黑体" w:cs="黑体"/>
                <w:b/>
                <w:bCs/>
                <w:sz w:val="28"/>
                <w:szCs w:val="28"/>
                <w:lang w:bidi="ar"/>
              </w:rPr>
              <w:t>序号</w:t>
            </w:r>
          </w:p>
        </w:tc>
        <w:tc>
          <w:tcPr>
            <w:tcW w:w="2369" w:type="pct"/>
            <w:vAlign w:val="center"/>
          </w:tcPr>
          <w:p w14:paraId="3983583F">
            <w:pPr>
              <w:jc w:val="center"/>
              <w:rPr>
                <w:rFonts w:ascii="黑体" w:hAnsi="黑体" w:eastAsia="黑体" w:cs="黑体"/>
                <w:b/>
                <w:bCs/>
                <w:sz w:val="28"/>
                <w:szCs w:val="28"/>
                <w:lang w:bidi="ar"/>
              </w:rPr>
            </w:pPr>
            <w:r>
              <w:rPr>
                <w:rFonts w:hint="eastAsia" w:ascii="黑体" w:hAnsi="黑体" w:eastAsia="黑体" w:cs="黑体"/>
                <w:b/>
                <w:bCs/>
                <w:sz w:val="28"/>
                <w:szCs w:val="28"/>
                <w:lang w:bidi="ar"/>
              </w:rPr>
              <w:t>实践模块和培养环节</w:t>
            </w:r>
          </w:p>
        </w:tc>
        <w:tc>
          <w:tcPr>
            <w:tcW w:w="1580" w:type="pct"/>
            <w:vAlign w:val="center"/>
          </w:tcPr>
          <w:p w14:paraId="64F62243">
            <w:pPr>
              <w:jc w:val="center"/>
              <w:rPr>
                <w:rFonts w:ascii="黑体" w:hAnsi="黑体" w:eastAsia="黑体" w:cs="黑体"/>
                <w:b/>
                <w:bCs/>
                <w:sz w:val="28"/>
                <w:szCs w:val="28"/>
              </w:rPr>
            </w:pPr>
            <w:r>
              <w:rPr>
                <w:rFonts w:hint="eastAsia" w:ascii="黑体" w:hAnsi="黑体" w:eastAsia="黑体" w:cs="黑体"/>
                <w:b/>
                <w:bCs/>
                <w:sz w:val="28"/>
                <w:szCs w:val="28"/>
                <w:lang w:bidi="ar"/>
              </w:rPr>
              <w:t>页码</w:t>
            </w:r>
          </w:p>
        </w:tc>
      </w:tr>
      <w:tr w14:paraId="418E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49" w:type="pct"/>
            <w:vMerge w:val="continue"/>
            <w:vAlign w:val="center"/>
          </w:tcPr>
          <w:p w14:paraId="71F3E45B">
            <w:pPr>
              <w:jc w:val="center"/>
              <w:rPr>
                <w:rFonts w:ascii="黑体" w:hAnsi="黑体" w:eastAsia="黑体" w:cs="黑体"/>
                <w:b/>
                <w:bCs/>
                <w:sz w:val="28"/>
                <w:szCs w:val="28"/>
                <w:lang w:bidi="ar"/>
              </w:rPr>
            </w:pPr>
          </w:p>
        </w:tc>
        <w:tc>
          <w:tcPr>
            <w:tcW w:w="2369" w:type="pct"/>
            <w:vAlign w:val="center"/>
          </w:tcPr>
          <w:p w14:paraId="49F8EC1F">
            <w:pPr>
              <w:jc w:val="center"/>
              <w:rPr>
                <w:rFonts w:ascii="黑体" w:hAnsi="黑体" w:eastAsia="黑体" w:cs="黑体"/>
                <w:b/>
                <w:bCs/>
                <w:sz w:val="28"/>
                <w:szCs w:val="28"/>
                <w:lang w:bidi="ar"/>
              </w:rPr>
            </w:pPr>
            <w:r>
              <w:rPr>
                <w:rFonts w:hint="eastAsia" w:ascii="黑体" w:hAnsi="黑体" w:eastAsia="黑体" w:cs="黑体"/>
                <w:b/>
                <w:bCs/>
                <w:sz w:val="28"/>
                <w:szCs w:val="28"/>
                <w:lang w:bidi="ar"/>
              </w:rPr>
              <w:t>硕士</w:t>
            </w:r>
          </w:p>
        </w:tc>
        <w:tc>
          <w:tcPr>
            <w:tcW w:w="1580" w:type="pct"/>
            <w:vAlign w:val="center"/>
          </w:tcPr>
          <w:p w14:paraId="700E3C69">
            <w:pPr>
              <w:jc w:val="center"/>
              <w:rPr>
                <w:rFonts w:ascii="黑体" w:hAnsi="黑体" w:eastAsia="黑体" w:cs="黑体"/>
                <w:b/>
                <w:bCs/>
                <w:sz w:val="28"/>
                <w:szCs w:val="28"/>
                <w:lang w:bidi="ar"/>
              </w:rPr>
            </w:pPr>
          </w:p>
        </w:tc>
      </w:tr>
      <w:tr w14:paraId="6882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61FC96A0">
            <w:pPr>
              <w:jc w:val="center"/>
              <w:rPr>
                <w:rFonts w:ascii="Calibri" w:hAnsi="Calibri" w:eastAsia="宋体" w:cs="Times New Roman"/>
                <w:sz w:val="28"/>
                <w:szCs w:val="28"/>
                <w:lang w:bidi="ar"/>
              </w:rPr>
            </w:pPr>
            <w:r>
              <w:rPr>
                <w:rFonts w:hint="eastAsia" w:ascii="Calibri" w:hAnsi="Calibri" w:eastAsia="宋体" w:cs="Times New Roman"/>
                <w:sz w:val="28"/>
                <w:szCs w:val="28"/>
                <w:lang w:bidi="ar"/>
              </w:rPr>
              <w:t>一</w:t>
            </w:r>
          </w:p>
        </w:tc>
        <w:tc>
          <w:tcPr>
            <w:tcW w:w="2369" w:type="pct"/>
            <w:vAlign w:val="center"/>
          </w:tcPr>
          <w:p w14:paraId="382D45DB">
            <w:pPr>
              <w:jc w:val="center"/>
              <w:rPr>
                <w:rFonts w:ascii="Calibri" w:hAnsi="Calibri" w:eastAsia="宋体" w:cs="Times New Roman"/>
                <w:sz w:val="28"/>
                <w:szCs w:val="28"/>
                <w:lang w:bidi="ar"/>
              </w:rPr>
            </w:pPr>
            <w:r>
              <w:rPr>
                <w:rFonts w:hint="eastAsia" w:ascii="Calibri" w:hAnsi="Calibri" w:eastAsia="宋体" w:cs="Times New Roman"/>
                <w:sz w:val="28"/>
                <w:szCs w:val="28"/>
                <w:lang w:bidi="ar"/>
              </w:rPr>
              <w:t>实践训练（专业实践）</w:t>
            </w:r>
          </w:p>
        </w:tc>
        <w:tc>
          <w:tcPr>
            <w:tcW w:w="1580" w:type="pct"/>
            <w:vAlign w:val="center"/>
          </w:tcPr>
          <w:p w14:paraId="2A925A8D">
            <w:pPr>
              <w:jc w:val="center"/>
              <w:rPr>
                <w:sz w:val="28"/>
                <w:szCs w:val="28"/>
              </w:rPr>
            </w:pPr>
            <w:r>
              <w:rPr>
                <w:rFonts w:hint="eastAsia"/>
                <w:sz w:val="28"/>
                <w:szCs w:val="28"/>
              </w:rPr>
              <w:t>1</w:t>
            </w:r>
          </w:p>
        </w:tc>
      </w:tr>
      <w:tr w14:paraId="06A3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230539B5">
            <w:pPr>
              <w:jc w:val="center"/>
              <w:rPr>
                <w:sz w:val="28"/>
                <w:szCs w:val="28"/>
              </w:rPr>
            </w:pPr>
            <w:r>
              <w:rPr>
                <w:rFonts w:hint="eastAsia" w:ascii="Calibri" w:hAnsi="Calibri" w:eastAsia="宋体" w:cs="Times New Roman"/>
                <w:sz w:val="28"/>
                <w:szCs w:val="28"/>
                <w:lang w:bidi="ar"/>
              </w:rPr>
              <w:t>二</w:t>
            </w:r>
          </w:p>
        </w:tc>
        <w:tc>
          <w:tcPr>
            <w:tcW w:w="2369" w:type="pct"/>
            <w:vAlign w:val="center"/>
          </w:tcPr>
          <w:p w14:paraId="1B4E0BB8">
            <w:pPr>
              <w:jc w:val="center"/>
              <w:rPr>
                <w:sz w:val="28"/>
                <w:szCs w:val="28"/>
              </w:rPr>
            </w:pPr>
            <w:r>
              <w:rPr>
                <w:rFonts w:hint="eastAsia" w:ascii="Calibri" w:hAnsi="Calibri" w:eastAsia="宋体" w:cs="Times New Roman"/>
                <w:sz w:val="28"/>
                <w:szCs w:val="28"/>
                <w:lang w:bidi="ar"/>
              </w:rPr>
              <w:t>开题审核</w:t>
            </w:r>
          </w:p>
        </w:tc>
        <w:tc>
          <w:tcPr>
            <w:tcW w:w="1580" w:type="pct"/>
            <w:vAlign w:val="center"/>
          </w:tcPr>
          <w:p w14:paraId="140906AF">
            <w:pPr>
              <w:jc w:val="center"/>
              <w:rPr>
                <w:sz w:val="28"/>
                <w:szCs w:val="28"/>
              </w:rPr>
            </w:pPr>
            <w:r>
              <w:rPr>
                <w:rFonts w:hint="eastAsia"/>
                <w:sz w:val="28"/>
                <w:szCs w:val="28"/>
              </w:rPr>
              <w:t>1</w:t>
            </w:r>
          </w:p>
        </w:tc>
      </w:tr>
      <w:tr w14:paraId="1CAA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16D7AF3D">
            <w:pPr>
              <w:jc w:val="center"/>
              <w:rPr>
                <w:rFonts w:ascii="Calibri" w:hAnsi="Calibri" w:eastAsia="宋体" w:cs="Times New Roman"/>
                <w:sz w:val="28"/>
                <w:szCs w:val="28"/>
                <w:lang w:bidi="ar"/>
              </w:rPr>
            </w:pPr>
            <w:r>
              <w:rPr>
                <w:rFonts w:hint="eastAsia" w:ascii="Calibri" w:hAnsi="Calibri" w:eastAsia="宋体" w:cs="Times New Roman"/>
                <w:sz w:val="28"/>
                <w:szCs w:val="28"/>
                <w:lang w:bidi="ar"/>
              </w:rPr>
              <w:t>三</w:t>
            </w:r>
          </w:p>
        </w:tc>
        <w:tc>
          <w:tcPr>
            <w:tcW w:w="2369" w:type="pct"/>
            <w:vAlign w:val="center"/>
          </w:tcPr>
          <w:p w14:paraId="597C5D1E">
            <w:pPr>
              <w:jc w:val="center"/>
              <w:rPr>
                <w:rFonts w:ascii="Calibri" w:hAnsi="Calibri" w:eastAsia="宋体" w:cs="Times New Roman"/>
                <w:sz w:val="28"/>
                <w:szCs w:val="28"/>
                <w:lang w:bidi="ar"/>
              </w:rPr>
            </w:pPr>
            <w:r>
              <w:rPr>
                <w:rFonts w:hint="eastAsia" w:ascii="Calibri" w:hAnsi="Calibri" w:eastAsia="宋体" w:cs="Times New Roman"/>
                <w:sz w:val="28"/>
                <w:szCs w:val="28"/>
                <w:lang w:bidi="ar"/>
              </w:rPr>
              <w:t>学位论文答辩</w:t>
            </w:r>
          </w:p>
        </w:tc>
        <w:tc>
          <w:tcPr>
            <w:tcW w:w="1580" w:type="pct"/>
            <w:vAlign w:val="center"/>
          </w:tcPr>
          <w:p w14:paraId="348D263A">
            <w:pPr>
              <w:jc w:val="center"/>
              <w:rPr>
                <w:sz w:val="28"/>
                <w:szCs w:val="28"/>
              </w:rPr>
            </w:pPr>
            <w:r>
              <w:rPr>
                <w:rFonts w:hint="eastAsia"/>
                <w:sz w:val="28"/>
                <w:szCs w:val="28"/>
              </w:rPr>
              <w:t>3</w:t>
            </w:r>
          </w:p>
        </w:tc>
      </w:tr>
      <w:tr w14:paraId="04D7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40B268B5">
            <w:pPr>
              <w:jc w:val="center"/>
              <w:rPr>
                <w:rFonts w:ascii="Calibri" w:hAnsi="Calibri" w:eastAsia="宋体" w:cs="Times New Roman"/>
                <w:sz w:val="28"/>
                <w:szCs w:val="28"/>
                <w:lang w:bidi="ar"/>
              </w:rPr>
            </w:pPr>
            <w:r>
              <w:rPr>
                <w:rFonts w:hint="eastAsia" w:ascii="Calibri" w:hAnsi="Calibri" w:eastAsia="宋体" w:cs="Times New Roman"/>
                <w:sz w:val="28"/>
                <w:szCs w:val="28"/>
                <w:lang w:bidi="ar"/>
              </w:rPr>
              <w:t>附件1</w:t>
            </w:r>
            <w:r>
              <w:rPr>
                <w:rFonts w:ascii="Calibri" w:hAnsi="Calibri" w:eastAsia="宋体" w:cs="Times New Roman"/>
                <w:sz w:val="28"/>
                <w:szCs w:val="28"/>
                <w:lang w:bidi="ar"/>
              </w:rPr>
              <w:t>-</w:t>
            </w:r>
            <w:r>
              <w:rPr>
                <w:rFonts w:hint="eastAsia" w:ascii="Calibri" w:hAnsi="Calibri" w:eastAsia="宋体" w:cs="Times New Roman"/>
                <w:sz w:val="28"/>
                <w:szCs w:val="28"/>
                <w:lang w:bidi="ar"/>
              </w:rPr>
              <w:t>3</w:t>
            </w:r>
          </w:p>
        </w:tc>
        <w:tc>
          <w:tcPr>
            <w:tcW w:w="2369" w:type="pct"/>
            <w:vAlign w:val="center"/>
          </w:tcPr>
          <w:p w14:paraId="73D43802">
            <w:pPr>
              <w:jc w:val="center"/>
              <w:rPr>
                <w:rFonts w:ascii="Calibri" w:hAnsi="Calibri" w:eastAsia="宋体" w:cs="Times New Roman"/>
                <w:sz w:val="28"/>
                <w:szCs w:val="28"/>
                <w:lang w:bidi="ar"/>
              </w:rPr>
            </w:pPr>
            <w:r>
              <w:rPr>
                <w:rFonts w:hint="eastAsia" w:ascii="Calibri" w:hAnsi="Calibri" w:eastAsia="宋体" w:cs="Times New Roman"/>
                <w:sz w:val="28"/>
                <w:szCs w:val="28"/>
                <w:lang w:bidi="ar"/>
              </w:rPr>
              <w:t>实践模块和培养</w:t>
            </w:r>
            <w:r>
              <w:rPr>
                <w:rFonts w:ascii="Calibri" w:hAnsi="Calibri" w:eastAsia="宋体" w:cs="Times New Roman"/>
                <w:sz w:val="28"/>
                <w:szCs w:val="28"/>
                <w:lang w:bidi="ar"/>
              </w:rPr>
              <w:t>环节表格</w:t>
            </w:r>
          </w:p>
        </w:tc>
        <w:tc>
          <w:tcPr>
            <w:tcW w:w="1580" w:type="pct"/>
            <w:vAlign w:val="center"/>
          </w:tcPr>
          <w:p w14:paraId="63714229">
            <w:pPr>
              <w:jc w:val="center"/>
              <w:rPr>
                <w:sz w:val="28"/>
                <w:szCs w:val="28"/>
              </w:rPr>
            </w:pPr>
            <w:r>
              <w:rPr>
                <w:rFonts w:hint="eastAsia"/>
                <w:sz w:val="28"/>
                <w:szCs w:val="28"/>
              </w:rPr>
              <w:t>5</w:t>
            </w:r>
          </w:p>
        </w:tc>
      </w:tr>
    </w:tbl>
    <w:p w14:paraId="6240573E">
      <w:pPr>
        <w:ind w:firstLine="1400" w:firstLineChars="500"/>
        <w:rPr>
          <w:sz w:val="28"/>
          <w:szCs w:val="28"/>
        </w:rPr>
      </w:pPr>
    </w:p>
    <w:p w14:paraId="20FB2E12">
      <w:pPr>
        <w:ind w:firstLine="1400" w:firstLineChars="500"/>
        <w:rPr>
          <w:sz w:val="28"/>
          <w:szCs w:val="28"/>
        </w:rPr>
      </w:pPr>
    </w:p>
    <w:p w14:paraId="6921734A">
      <w:pPr>
        <w:ind w:firstLine="560" w:firstLineChars="200"/>
        <w:rPr>
          <w:sz w:val="28"/>
          <w:szCs w:val="28"/>
        </w:rPr>
        <w:sectPr>
          <w:footerReference r:id="rId3" w:type="default"/>
          <w:pgSz w:w="11906" w:h="16838"/>
          <w:pgMar w:top="1440" w:right="1800" w:bottom="1440" w:left="1800" w:header="851" w:footer="992" w:gutter="0"/>
          <w:cols w:space="425" w:num="1"/>
          <w:docGrid w:type="lines" w:linePitch="312" w:charSpace="0"/>
        </w:sectPr>
      </w:pPr>
    </w:p>
    <w:p w14:paraId="35BF43FA">
      <w:pPr>
        <w:ind w:firstLine="560" w:firstLineChars="200"/>
        <w:rPr>
          <w:sz w:val="28"/>
          <w:szCs w:val="28"/>
        </w:rPr>
      </w:pPr>
      <w:r>
        <w:rPr>
          <w:rFonts w:hint="eastAsia"/>
          <w:sz w:val="28"/>
          <w:szCs w:val="28"/>
        </w:rPr>
        <w:t>专业学位类别（领域）按照学校要求，结合本专业学位类别（领域）实际，制定本实施细则，现将具体事项规定如下：</w:t>
      </w:r>
    </w:p>
    <w:p w14:paraId="74055F28">
      <w:pPr>
        <w:jc w:val="left"/>
        <w:rPr>
          <w:b/>
          <w:bCs/>
          <w:sz w:val="28"/>
          <w:szCs w:val="28"/>
        </w:rPr>
      </w:pPr>
    </w:p>
    <w:p w14:paraId="187001DF">
      <w:pPr>
        <w:jc w:val="left"/>
        <w:rPr>
          <w:b/>
          <w:bCs/>
          <w:sz w:val="28"/>
          <w:szCs w:val="28"/>
        </w:rPr>
      </w:pPr>
      <w:r>
        <w:rPr>
          <w:rFonts w:hint="eastAsia"/>
          <w:b/>
          <w:bCs/>
          <w:sz w:val="28"/>
          <w:szCs w:val="28"/>
        </w:rPr>
        <w:t>一、实践训练（专业实践）</w:t>
      </w:r>
    </w:p>
    <w:p w14:paraId="23F7AEFB">
      <w:pPr>
        <w:jc w:val="left"/>
        <w:rPr>
          <w:sz w:val="28"/>
          <w:szCs w:val="28"/>
        </w:rPr>
      </w:pPr>
      <w:r>
        <w:rPr>
          <w:rFonts w:hint="eastAsia"/>
          <w:sz w:val="28"/>
          <w:szCs w:val="28"/>
        </w:rPr>
        <w:t>（一）考核内容</w:t>
      </w:r>
    </w:p>
    <w:p w14:paraId="15CD9A29">
      <w:pPr>
        <w:ind w:firstLine="560" w:firstLineChars="200"/>
        <w:rPr>
          <w:sz w:val="28"/>
          <w:szCs w:val="28"/>
        </w:rPr>
      </w:pPr>
      <w:r>
        <w:rPr>
          <w:rFonts w:hint="eastAsia"/>
          <w:sz w:val="28"/>
          <w:szCs w:val="28"/>
        </w:rPr>
        <w:t>学生到学校批准设立的专业学位研究生联合培养基地或与专业密切相关的大中型国有（全民所有制）生产单位（企业）进行专业实践。专业实践时间应不少于12个月。在联合培养基地或生产单位（企业）工作期间要提交工作日志（周日记）。</w:t>
      </w:r>
    </w:p>
    <w:p w14:paraId="65C3F4DD">
      <w:pPr>
        <w:jc w:val="left"/>
        <w:rPr>
          <w:sz w:val="28"/>
          <w:szCs w:val="28"/>
        </w:rPr>
      </w:pPr>
      <w:r>
        <w:rPr>
          <w:rFonts w:hint="eastAsia"/>
          <w:sz w:val="28"/>
          <w:szCs w:val="28"/>
        </w:rPr>
        <w:t>（二）考核时间、方式</w:t>
      </w:r>
    </w:p>
    <w:p w14:paraId="26543A89">
      <w:pPr>
        <w:jc w:val="left"/>
        <w:rPr>
          <w:sz w:val="28"/>
          <w:szCs w:val="28"/>
        </w:rPr>
      </w:pPr>
      <w:r>
        <w:rPr>
          <w:rFonts w:hint="eastAsia"/>
          <w:sz w:val="28"/>
          <w:szCs w:val="28"/>
        </w:rPr>
        <w:t>考核时间：硕士三年级开学前两周。</w:t>
      </w:r>
    </w:p>
    <w:p w14:paraId="4D77879F">
      <w:pPr>
        <w:jc w:val="left"/>
        <w:rPr>
          <w:sz w:val="28"/>
          <w:szCs w:val="28"/>
        </w:rPr>
      </w:pPr>
      <w:r>
        <w:rPr>
          <w:rFonts w:hint="eastAsia"/>
          <w:sz w:val="28"/>
          <w:szCs w:val="28"/>
        </w:rPr>
        <w:t>考核方式：学院组织校内（不少于3人）和企业（不少于2名）组成不少于5人的专家组（专家组总人数为奇数），学生制作PPT进行工作汇报，专家组对学生的工作报告进行考核，考核结果分为通过和不通过，考核通过者给予学分。考核不通过者需要根据专家意见进一步修改，三个月后组织第二次考核，考核通过者继续硕士阶段学习，考核不通过者予以退学。</w:t>
      </w:r>
    </w:p>
    <w:p w14:paraId="192AC890">
      <w:pPr>
        <w:jc w:val="left"/>
        <w:rPr>
          <w:rFonts w:eastAsia="宋体"/>
          <w:b/>
          <w:bCs/>
          <w:sz w:val="28"/>
          <w:szCs w:val="28"/>
          <w:highlight w:val="none"/>
        </w:rPr>
      </w:pPr>
      <w:r>
        <w:rPr>
          <w:rFonts w:hint="eastAsia" w:ascii="Calibri" w:hAnsi="Calibri" w:eastAsia="宋体" w:cs="Times New Roman"/>
          <w:b/>
          <w:bCs/>
          <w:sz w:val="28"/>
          <w:szCs w:val="28"/>
          <w:highlight w:val="none"/>
          <w:lang w:bidi="ar"/>
        </w:rPr>
        <w:t>二、开题审核</w:t>
      </w:r>
    </w:p>
    <w:p w14:paraId="54D2E1D5">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（一）考核内容</w:t>
      </w:r>
    </w:p>
    <w:p w14:paraId="7B70F518">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重点考查硕士生的开题报告、课程学分完成情况和思想政治等综合表现。</w:t>
      </w:r>
    </w:p>
    <w:p w14:paraId="0E271A95">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（二）考核标准</w:t>
      </w:r>
    </w:p>
    <w:p w14:paraId="01BF8637">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开题审核采用评分制，满分值为100分，</w:t>
      </w:r>
      <w:r>
        <w:rPr>
          <w:rFonts w:hint="eastAsia" w:ascii="Calibri" w:hAnsi="Calibri" w:eastAsia="宋体" w:cs="Times New Roman"/>
          <w:sz w:val="28"/>
          <w:szCs w:val="28"/>
          <w:highlight w:val="none"/>
          <w:lang w:bidi="ar"/>
        </w:rPr>
        <w:t>低于70分视为不通过。</w:t>
      </w:r>
      <w:r>
        <w:rPr>
          <w:rFonts w:hint="eastAsia" w:ascii="Calibri" w:hAnsi="Calibri" w:eastAsia="宋体" w:cs="Times New Roman"/>
          <w:sz w:val="28"/>
          <w:szCs w:val="28"/>
          <w:lang w:bidi="ar"/>
        </w:rPr>
        <w:t>其中：</w:t>
      </w:r>
    </w:p>
    <w:p w14:paraId="6D36D0CC">
      <w:pPr>
        <w:ind w:firstLine="560" w:firstLineChars="200"/>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1</w:t>
      </w:r>
      <w:r>
        <w:rPr>
          <w:rFonts w:cs="Times New Roman" w:asciiTheme="minorEastAsia" w:hAnsiTheme="minorEastAsia"/>
          <w:sz w:val="28"/>
          <w:szCs w:val="28"/>
          <w:lang w:bidi="ar"/>
        </w:rPr>
        <w:t>.</w:t>
      </w:r>
      <w:r>
        <w:rPr>
          <w:rFonts w:hint="eastAsia" w:cs="Times New Roman" w:asciiTheme="minorEastAsia" w:hAnsiTheme="minorEastAsia"/>
          <w:sz w:val="28"/>
          <w:szCs w:val="28"/>
          <w:lang w:bidi="ar"/>
        </w:rPr>
        <w:t>开题报告（70分）</w:t>
      </w:r>
    </w:p>
    <w:p w14:paraId="130FF7AB">
      <w:pPr>
        <w:ind w:firstLine="565" w:firstLineChars="202"/>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（1）文献综述：10分</w:t>
      </w:r>
    </w:p>
    <w:p w14:paraId="2E4EAF0D">
      <w:pPr>
        <w:ind w:firstLine="565" w:firstLineChars="202"/>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（2）选题背景及研究意义：10分</w:t>
      </w:r>
    </w:p>
    <w:p w14:paraId="2F153C05">
      <w:pPr>
        <w:ind w:firstLine="565" w:firstLineChars="202"/>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（3）研究内容：40分</w:t>
      </w:r>
    </w:p>
    <w:p w14:paraId="4D24BF6A">
      <w:pPr>
        <w:ind w:firstLine="565" w:firstLineChars="202"/>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（4）预期成果：10分</w:t>
      </w:r>
    </w:p>
    <w:p w14:paraId="6D91D008">
      <w:pPr>
        <w:ind w:firstLine="565" w:firstLineChars="202"/>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2</w:t>
      </w:r>
      <w:r>
        <w:rPr>
          <w:rFonts w:cs="Times New Roman" w:asciiTheme="minorEastAsia" w:hAnsiTheme="minorEastAsia"/>
          <w:sz w:val="28"/>
          <w:szCs w:val="28"/>
          <w:lang w:bidi="ar"/>
        </w:rPr>
        <w:t>.</w:t>
      </w:r>
      <w:r>
        <w:rPr>
          <w:rFonts w:hint="eastAsia" w:cs="Times New Roman" w:asciiTheme="minorEastAsia" w:hAnsiTheme="minorEastAsia"/>
          <w:sz w:val="28"/>
          <w:szCs w:val="28"/>
          <w:lang w:bidi="ar"/>
        </w:rPr>
        <w:t>课程学分完成情况（20分）</w:t>
      </w:r>
    </w:p>
    <w:p w14:paraId="23103F11">
      <w:pPr>
        <w:ind w:firstLine="565" w:firstLineChars="202"/>
        <w:jc w:val="left"/>
        <w:rPr>
          <w:rFonts w:cs="Times New Roman" w:asciiTheme="minorEastAsia" w:hAnsiTheme="minorEastAsia"/>
          <w:sz w:val="28"/>
          <w:szCs w:val="28"/>
          <w:lang w:bidi="ar"/>
        </w:rPr>
      </w:pPr>
      <w:r>
        <w:rPr>
          <w:rFonts w:hint="eastAsia" w:cs="Times New Roman" w:asciiTheme="minorEastAsia" w:hAnsiTheme="minorEastAsia"/>
          <w:sz w:val="28"/>
          <w:szCs w:val="28"/>
          <w:lang w:bidi="ar"/>
        </w:rPr>
        <w:t>3.思想政治表现（10分）</w:t>
      </w:r>
    </w:p>
    <w:p w14:paraId="2ABB7BF9">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（三）考核时间</w:t>
      </w:r>
    </w:p>
    <w:p w14:paraId="4CB2DD12">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在课程学习结束、学位论文撰写开始前进行。硕士开题报告和论文答辩时间间隔要求不少于一学年。</w:t>
      </w:r>
    </w:p>
    <w:p w14:paraId="2435246D">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（四）考核方式</w:t>
      </w:r>
    </w:p>
    <w:p w14:paraId="5C8F1AD8">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由学院统一组织，学生采取公开答辩方式。</w:t>
      </w:r>
    </w:p>
    <w:p w14:paraId="17406C37">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（五）考核程序</w:t>
      </w:r>
    </w:p>
    <w:p w14:paraId="4BF0F573">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对硕士生学位论文开题报告进行评议，评议结果分为通过、暂缓通过或不通过，无法参加的硕士生作不通过处理。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开题审核材料由学院（中心）负责保管，存入硕士生档案。</w:t>
      </w:r>
    </w:p>
    <w:p w14:paraId="4F36891C">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（六）考核人员组成</w:t>
      </w:r>
    </w:p>
    <w:p w14:paraId="65629703">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5名具有硕士生导师资格的教师组成，其中校外专家不少于2人，导师全程参加。</w:t>
      </w:r>
    </w:p>
    <w:p w14:paraId="489B8C83">
      <w:pPr>
        <w:jc w:val="left"/>
        <w:rPr>
          <w:rFonts w:ascii="Calibri" w:hAnsi="Calibri" w:eastAsia="宋体" w:cs="Times New Roman"/>
          <w:sz w:val="28"/>
          <w:szCs w:val="28"/>
          <w:lang w:bidi="ar"/>
        </w:rPr>
      </w:pPr>
      <w:r>
        <w:rPr>
          <w:rFonts w:hint="eastAsia" w:ascii="Calibri" w:hAnsi="Calibri" w:eastAsia="宋体" w:cs="Times New Roman"/>
          <w:sz w:val="28"/>
          <w:szCs w:val="28"/>
          <w:lang w:bidi="ar"/>
        </w:rPr>
        <w:t>（七）学生申诉处理委员会组成及申诉、议事规则</w:t>
      </w:r>
    </w:p>
    <w:p w14:paraId="3290AF61">
      <w:pPr>
        <w:ind w:firstLine="560" w:firstLineChars="200"/>
        <w:jc w:val="left"/>
        <w:rPr>
          <w:rFonts w:ascii="Calibri" w:hAnsi="Calibri" w:eastAsia="宋体" w:cs="Times New Roman"/>
          <w:sz w:val="28"/>
          <w:szCs w:val="28"/>
          <w:lang w:bidi="ar"/>
        </w:rPr>
      </w:pPr>
      <w:r>
        <w:rPr>
          <w:rFonts w:hint="eastAsia" w:ascii="Calibri" w:hAnsi="Calibri" w:eastAsia="宋体" w:cs="Times New Roman"/>
          <w:sz w:val="28"/>
          <w:szCs w:val="28"/>
          <w:lang w:bidi="ar"/>
        </w:rPr>
        <w:t>如对开题审核结果有异议，研究生应当在学院公示后的3个工作日内向学院学术委员会提出书面申诉。学院学术委员会应当对学生提出的申诉及时予以复查，并给予明确答复。研究生在规定时间内未提出申诉的，学院将不再受理其申诉。</w:t>
      </w:r>
    </w:p>
    <w:p w14:paraId="791D4976">
      <w:pPr>
        <w:jc w:val="left"/>
        <w:rPr>
          <w:b/>
          <w:bCs/>
          <w:sz w:val="28"/>
          <w:szCs w:val="28"/>
        </w:rPr>
      </w:pPr>
      <w:r>
        <w:rPr>
          <w:rFonts w:hint="eastAsia" w:ascii="Calibri" w:hAnsi="Calibri" w:eastAsia="宋体" w:cs="Times New Roman"/>
          <w:b/>
          <w:bCs/>
          <w:sz w:val="28"/>
          <w:szCs w:val="28"/>
          <w:lang w:bidi="ar"/>
        </w:rPr>
        <w:t>三、学位论文答辩</w:t>
      </w:r>
    </w:p>
    <w:p w14:paraId="119AD6DE">
      <w:pPr>
        <w:rPr>
          <w:rFonts w:ascii="Calibri" w:hAnsi="Calibri" w:eastAsia="宋体" w:cs="Times New Roman"/>
          <w:sz w:val="28"/>
          <w:szCs w:val="28"/>
          <w:lang w:bidi="ar"/>
        </w:rPr>
      </w:pPr>
      <w:r>
        <w:rPr>
          <w:rFonts w:hint="eastAsia" w:ascii="Calibri" w:hAnsi="Calibri" w:eastAsia="宋体" w:cs="Times New Roman"/>
          <w:sz w:val="28"/>
          <w:szCs w:val="28"/>
          <w:lang w:bidi="ar"/>
        </w:rPr>
        <w:t>（一）考核内容</w:t>
      </w:r>
    </w:p>
    <w:p w14:paraId="1E2D77BB">
      <w:pPr>
        <w:ind w:firstLine="560" w:firstLineChars="200"/>
        <w:rPr>
          <w:rFonts w:ascii="Calibri" w:hAnsi="Calibri" w:eastAsia="宋体" w:cs="Times New Roman"/>
          <w:sz w:val="28"/>
          <w:szCs w:val="28"/>
          <w:lang w:bidi="ar"/>
        </w:rPr>
      </w:pPr>
      <w:r>
        <w:rPr>
          <w:rFonts w:hint="eastAsia" w:ascii="Calibri" w:hAnsi="Calibri" w:eastAsia="宋体" w:cs="Times New Roman"/>
          <w:sz w:val="28"/>
          <w:szCs w:val="28"/>
          <w:lang w:bidi="ar"/>
        </w:rPr>
        <w:t>研究的充分性、创新性以及学位论文写作的规范性等方面。</w:t>
      </w:r>
    </w:p>
    <w:p w14:paraId="4961CF31">
      <w:pPr>
        <w:rPr>
          <w:rFonts w:ascii="Calibri" w:hAnsi="Calibri" w:eastAsia="宋体" w:cs="Times New Roman"/>
          <w:sz w:val="28"/>
          <w:szCs w:val="28"/>
          <w:lang w:bidi="ar"/>
        </w:rPr>
      </w:pPr>
      <w:r>
        <w:rPr>
          <w:rFonts w:hint="eastAsia" w:ascii="Calibri" w:hAnsi="Calibri" w:eastAsia="宋体" w:cs="Times New Roman"/>
          <w:sz w:val="28"/>
          <w:szCs w:val="28"/>
          <w:lang w:bidi="ar"/>
        </w:rPr>
        <w:t>（二）考核标准</w:t>
      </w:r>
    </w:p>
    <w:p w14:paraId="5F304DDE">
      <w:pPr>
        <w:ind w:firstLine="560" w:firstLineChars="200"/>
        <w:rPr>
          <w:rFonts w:ascii="MS Mincho" w:hAnsi="MS Mincho" w:eastAsia="宋体" w:cs="MS Mincho"/>
          <w:sz w:val="28"/>
          <w:szCs w:val="28"/>
        </w:rPr>
      </w:pPr>
      <w:r>
        <w:rPr>
          <w:rFonts w:hint="eastAsia" w:ascii="MS Mincho" w:hAnsi="MS Mincho" w:eastAsia="宋体" w:cs="MS Mincho"/>
          <w:sz w:val="28"/>
          <w:szCs w:val="28"/>
        </w:rPr>
        <w:t>按照</w:t>
      </w:r>
      <w:r>
        <w:rPr>
          <w:rFonts w:ascii="MS Mincho" w:hAnsi="MS Mincho" w:eastAsia="宋体" w:cs="MS Mincho"/>
          <w:sz w:val="28"/>
          <w:szCs w:val="28"/>
        </w:rPr>
        <w:t>本学科学位论文基本要求进行</w:t>
      </w:r>
      <w:r>
        <w:rPr>
          <w:rFonts w:hint="eastAsia" w:ascii="MS Mincho" w:hAnsi="MS Mincho" w:eastAsia="宋体" w:cs="MS Mincho"/>
          <w:sz w:val="28"/>
          <w:szCs w:val="28"/>
        </w:rPr>
        <w:t>考核</w:t>
      </w:r>
      <w:r>
        <w:rPr>
          <w:rFonts w:ascii="MS Mincho" w:hAnsi="MS Mincho" w:eastAsia="宋体" w:cs="MS Mincho"/>
          <w:sz w:val="28"/>
          <w:szCs w:val="28"/>
        </w:rPr>
        <w:t>。</w:t>
      </w:r>
    </w:p>
    <w:p w14:paraId="4ADCB6C6">
      <w:pPr>
        <w:rPr>
          <w:rFonts w:ascii="Calibri" w:hAnsi="Calibri" w:eastAsia="宋体" w:cs="Times New Roman"/>
          <w:sz w:val="28"/>
          <w:szCs w:val="28"/>
          <w:lang w:bidi="ar"/>
        </w:rPr>
      </w:pPr>
      <w:r>
        <w:rPr>
          <w:rFonts w:hint="eastAsia" w:ascii="Calibri" w:hAnsi="Calibri" w:eastAsia="宋体" w:cs="Times New Roman"/>
          <w:sz w:val="28"/>
          <w:szCs w:val="28"/>
          <w:lang w:bidi="ar"/>
        </w:rPr>
        <w:t>（三）考核时间</w:t>
      </w:r>
    </w:p>
    <w:p w14:paraId="76797C07">
      <w:pPr>
        <w:ind w:firstLine="560" w:firstLineChars="200"/>
        <w:rPr>
          <w:rFonts w:ascii="Calibri" w:hAnsi="Calibri" w:eastAsia="宋体" w:cs="Times New Roman"/>
          <w:sz w:val="28"/>
          <w:szCs w:val="28"/>
          <w:lang w:bidi="ar"/>
        </w:rPr>
      </w:pPr>
      <w:r>
        <w:rPr>
          <w:rFonts w:hint="eastAsia" w:ascii="Calibri" w:hAnsi="Calibri" w:eastAsia="宋体" w:cs="Times New Roman"/>
          <w:sz w:val="28"/>
          <w:szCs w:val="28"/>
          <w:lang w:bidi="ar"/>
        </w:rPr>
        <w:t>硕士学位论文答辩应在第一次开题审核通过</w:t>
      </w:r>
      <w:r>
        <w:rPr>
          <w:rFonts w:ascii="Calibri" w:hAnsi="Calibri" w:eastAsia="宋体" w:cs="Times New Roman"/>
          <w:sz w:val="28"/>
          <w:szCs w:val="28"/>
          <w:lang w:bidi="ar"/>
        </w:rPr>
        <w:t>1</w:t>
      </w:r>
      <w:r>
        <w:rPr>
          <w:rFonts w:hint="eastAsia" w:ascii="Calibri" w:hAnsi="Calibri" w:eastAsia="宋体" w:cs="Times New Roman"/>
          <w:sz w:val="28"/>
          <w:szCs w:val="28"/>
          <w:lang w:bidi="ar"/>
        </w:rPr>
        <w:t>年后进行。</w:t>
      </w:r>
    </w:p>
    <w:p w14:paraId="0AC819E8">
      <w:pPr>
        <w:rPr>
          <w:rFonts w:ascii="Calibri" w:hAnsi="Calibri" w:eastAsia="宋体" w:cs="Times New Roman"/>
          <w:sz w:val="28"/>
          <w:szCs w:val="28"/>
          <w:lang w:bidi="ar"/>
        </w:rPr>
      </w:pPr>
      <w:r>
        <w:rPr>
          <w:rFonts w:hint="eastAsia" w:ascii="Calibri" w:hAnsi="Calibri" w:eastAsia="宋体" w:cs="Times New Roman"/>
          <w:sz w:val="28"/>
          <w:szCs w:val="28"/>
          <w:lang w:bidi="ar"/>
        </w:rPr>
        <w:t>（四）考核方式</w:t>
      </w:r>
    </w:p>
    <w:p w14:paraId="25D56AC0">
      <w:pPr>
        <w:ind w:firstLine="560" w:firstLineChars="200"/>
        <w:rPr>
          <w:rFonts w:ascii="Calibri" w:hAnsi="Calibri" w:eastAsia="宋体" w:cs="Times New Roman"/>
          <w:sz w:val="28"/>
          <w:szCs w:val="28"/>
          <w:lang w:bidi="ar"/>
        </w:rPr>
      </w:pPr>
      <w:r>
        <w:rPr>
          <w:rFonts w:hint="eastAsia" w:ascii="Calibri" w:hAnsi="Calibri" w:eastAsia="宋体" w:cs="Times New Roman"/>
          <w:sz w:val="28"/>
          <w:szCs w:val="28"/>
          <w:lang w:bidi="ar"/>
        </w:rPr>
        <w:t>学生采用PPT汇报方式开展答辩。</w:t>
      </w:r>
    </w:p>
    <w:p w14:paraId="6D274DDE">
      <w:pPr>
        <w:rPr>
          <w:rFonts w:ascii="Calibri" w:hAnsi="Calibri" w:eastAsia="宋体" w:cs="Times New Roman"/>
          <w:sz w:val="28"/>
          <w:szCs w:val="28"/>
          <w:lang w:bidi="ar"/>
        </w:rPr>
      </w:pPr>
      <w:r>
        <w:rPr>
          <w:rFonts w:hint="eastAsia" w:ascii="Calibri" w:hAnsi="Calibri" w:eastAsia="宋体" w:cs="Times New Roman"/>
          <w:sz w:val="28"/>
          <w:szCs w:val="28"/>
          <w:lang w:bidi="ar"/>
        </w:rPr>
        <w:t>（五）考核程序</w:t>
      </w:r>
    </w:p>
    <w:p w14:paraId="16D44A03">
      <w:pPr>
        <w:ind w:firstLine="560" w:firstLineChars="200"/>
        <w:jc w:val="left"/>
        <w:rPr>
          <w:rFonts w:ascii="Calibri" w:hAnsi="Calibri" w:eastAsia="宋体" w:cs="Times New Roman"/>
          <w:sz w:val="28"/>
          <w:szCs w:val="28"/>
          <w:lang w:bidi="ar"/>
        </w:rPr>
      </w:pPr>
      <w:r>
        <w:rPr>
          <w:rFonts w:ascii="Calibri" w:hAnsi="Calibri" w:eastAsia="宋体" w:cs="Times New Roman"/>
          <w:sz w:val="28"/>
          <w:szCs w:val="28"/>
          <w:lang w:bidi="ar"/>
        </w:rPr>
        <w:t>1.</w:t>
      </w:r>
      <w:r>
        <w:rPr>
          <w:rFonts w:hint="eastAsia" w:ascii="Calibri" w:hAnsi="Calibri" w:eastAsia="宋体" w:cs="Times New Roman"/>
          <w:sz w:val="28"/>
          <w:szCs w:val="28"/>
          <w:lang w:bidi="ar"/>
        </w:rPr>
        <w:t>导师介绍学生学习情况、选题缘由及论文送审得到的反馈建议；</w:t>
      </w:r>
    </w:p>
    <w:p w14:paraId="09AD9A7F">
      <w:pPr>
        <w:ind w:firstLine="560" w:firstLineChars="200"/>
        <w:jc w:val="left"/>
        <w:rPr>
          <w:rFonts w:ascii="Calibri" w:hAnsi="Calibri" w:eastAsia="宋体" w:cs="Times New Roman"/>
          <w:sz w:val="28"/>
          <w:szCs w:val="28"/>
          <w:lang w:bidi="ar"/>
        </w:rPr>
      </w:pPr>
      <w:r>
        <w:rPr>
          <w:rFonts w:ascii="Calibri" w:hAnsi="Calibri" w:eastAsia="宋体" w:cs="Times New Roman"/>
          <w:sz w:val="28"/>
          <w:szCs w:val="28"/>
          <w:lang w:bidi="ar"/>
        </w:rPr>
        <w:t>2.</w:t>
      </w:r>
      <w:r>
        <w:rPr>
          <w:rFonts w:hint="eastAsia" w:ascii="Calibri" w:hAnsi="Calibri" w:eastAsia="宋体" w:cs="Times New Roman"/>
          <w:sz w:val="28"/>
          <w:szCs w:val="28"/>
          <w:lang w:bidi="ar"/>
        </w:rPr>
        <w:t>学生进行论文汇报，原则上应使用</w:t>
      </w:r>
      <w:r>
        <w:rPr>
          <w:rFonts w:ascii="Calibri" w:hAnsi="Calibri" w:eastAsia="宋体" w:cs="Times New Roman"/>
          <w:sz w:val="28"/>
          <w:szCs w:val="28"/>
          <w:lang w:bidi="ar"/>
        </w:rPr>
        <w:t>PPT</w:t>
      </w:r>
      <w:r>
        <w:rPr>
          <w:rFonts w:hint="eastAsia" w:ascii="Calibri" w:hAnsi="Calibri" w:eastAsia="宋体" w:cs="Times New Roman"/>
          <w:sz w:val="28"/>
          <w:szCs w:val="28"/>
          <w:lang w:bidi="ar"/>
        </w:rPr>
        <w:t>，博士生用时不少于</w:t>
      </w:r>
      <w:r>
        <w:rPr>
          <w:rFonts w:ascii="Calibri" w:hAnsi="Calibri" w:eastAsia="宋体" w:cs="Times New Roman"/>
          <w:sz w:val="28"/>
          <w:szCs w:val="28"/>
          <w:lang w:bidi="ar"/>
        </w:rPr>
        <w:t>1</w:t>
      </w:r>
      <w:r>
        <w:rPr>
          <w:rFonts w:hint="eastAsia" w:ascii="Calibri" w:hAnsi="Calibri" w:eastAsia="宋体" w:cs="Times New Roman"/>
          <w:sz w:val="28"/>
          <w:szCs w:val="28"/>
          <w:lang w:bidi="ar"/>
        </w:rPr>
        <w:t>小时，硕士生用时不少于</w:t>
      </w:r>
      <w:r>
        <w:rPr>
          <w:rFonts w:ascii="Calibri" w:hAnsi="Calibri" w:eastAsia="宋体" w:cs="Times New Roman"/>
          <w:sz w:val="28"/>
          <w:szCs w:val="28"/>
          <w:lang w:bidi="ar"/>
        </w:rPr>
        <w:t>15</w:t>
      </w:r>
      <w:r>
        <w:rPr>
          <w:rFonts w:hint="eastAsia" w:ascii="Calibri" w:hAnsi="Calibri" w:eastAsia="宋体" w:cs="Times New Roman"/>
          <w:sz w:val="28"/>
          <w:szCs w:val="28"/>
          <w:lang w:bidi="ar"/>
        </w:rPr>
        <w:t>分钟；</w:t>
      </w:r>
    </w:p>
    <w:p w14:paraId="6E401018">
      <w:pPr>
        <w:ind w:firstLine="560" w:firstLineChars="200"/>
        <w:jc w:val="left"/>
        <w:rPr>
          <w:rFonts w:ascii="Calibri" w:hAnsi="Calibri" w:eastAsia="宋体" w:cs="Times New Roman"/>
          <w:sz w:val="28"/>
          <w:szCs w:val="28"/>
          <w:lang w:bidi="ar"/>
        </w:rPr>
      </w:pPr>
      <w:r>
        <w:rPr>
          <w:rFonts w:ascii="Calibri" w:hAnsi="Calibri" w:eastAsia="宋体" w:cs="Times New Roman"/>
          <w:sz w:val="28"/>
          <w:szCs w:val="28"/>
          <w:lang w:bidi="ar"/>
        </w:rPr>
        <w:t>3.</w:t>
      </w:r>
      <w:r>
        <w:rPr>
          <w:rFonts w:hint="eastAsia" w:ascii="Calibri" w:hAnsi="Calibri" w:eastAsia="宋体" w:cs="Times New Roman"/>
          <w:sz w:val="28"/>
          <w:szCs w:val="28"/>
          <w:lang w:bidi="ar"/>
        </w:rPr>
        <w:t>由答辩专家委员会成员逐一提出问题或建议，由专家委员会确定学生准备回答的时间以及回答问题的形式；</w:t>
      </w:r>
    </w:p>
    <w:p w14:paraId="4C5C8A19">
      <w:pPr>
        <w:ind w:firstLine="560" w:firstLineChars="200"/>
        <w:jc w:val="left"/>
        <w:rPr>
          <w:rFonts w:ascii="Calibri" w:hAnsi="Calibri" w:eastAsia="宋体" w:cs="Times New Roman"/>
          <w:sz w:val="28"/>
          <w:szCs w:val="28"/>
          <w:lang w:bidi="ar"/>
        </w:rPr>
      </w:pPr>
      <w:r>
        <w:rPr>
          <w:rFonts w:ascii="Calibri" w:hAnsi="Calibri" w:eastAsia="宋体" w:cs="Times New Roman"/>
          <w:sz w:val="28"/>
          <w:szCs w:val="28"/>
          <w:lang w:bidi="ar"/>
        </w:rPr>
        <w:t>4.</w:t>
      </w:r>
      <w:r>
        <w:rPr>
          <w:rFonts w:hint="eastAsia" w:ascii="Calibri" w:hAnsi="Calibri" w:eastAsia="宋体" w:cs="Times New Roman"/>
          <w:sz w:val="28"/>
          <w:szCs w:val="28"/>
          <w:lang w:bidi="ar"/>
        </w:rPr>
        <w:t>在全部学生答辩结束后，答辩委员会应根据研究生学位论文及答辩情况，在充分讨论和认真审议的基础上进行表决，表决后再讨论学生具体论文等级，并形成答辩决议；</w:t>
      </w:r>
    </w:p>
    <w:p w14:paraId="564F51C6">
      <w:pPr>
        <w:ind w:firstLine="560" w:firstLineChars="200"/>
        <w:jc w:val="left"/>
        <w:rPr>
          <w:rFonts w:ascii="Calibri" w:hAnsi="Calibri" w:eastAsia="宋体" w:cs="Times New Roman"/>
          <w:sz w:val="28"/>
          <w:szCs w:val="28"/>
          <w:lang w:bidi="ar"/>
        </w:rPr>
      </w:pPr>
      <w:r>
        <w:rPr>
          <w:rFonts w:ascii="Calibri" w:hAnsi="Calibri" w:eastAsia="宋体" w:cs="Times New Roman"/>
          <w:sz w:val="28"/>
          <w:szCs w:val="28"/>
          <w:lang w:bidi="ar"/>
        </w:rPr>
        <w:t>5.</w:t>
      </w:r>
      <w:r>
        <w:rPr>
          <w:rFonts w:hint="eastAsia" w:ascii="Calibri" w:hAnsi="Calibri" w:eastAsia="宋体" w:cs="Times New Roman"/>
          <w:sz w:val="28"/>
          <w:szCs w:val="28"/>
          <w:lang w:bidi="ar"/>
        </w:rPr>
        <w:t>论文等级为合格即答辩委员会意见为“通过但需做重大修改的”，由答辩委员会指定一名委员为复审负责人，学生应当提交修改稿及修改说明，由复审负责人进行审议。复审负责人不在修改说明上签字的，该学生申请毕业的申请不得提交院学位评定分委员会审议。</w:t>
      </w:r>
    </w:p>
    <w:p w14:paraId="39B42054">
      <w:pPr>
        <w:rPr>
          <w:rFonts w:ascii="Calibri" w:hAnsi="Calibri" w:eastAsia="宋体" w:cs="Times New Roman"/>
          <w:sz w:val="28"/>
          <w:szCs w:val="28"/>
          <w:lang w:bidi="ar"/>
        </w:rPr>
      </w:pPr>
      <w:r>
        <w:rPr>
          <w:rFonts w:hint="eastAsia" w:ascii="Calibri" w:hAnsi="Calibri" w:eastAsia="宋体" w:cs="Times New Roman"/>
          <w:sz w:val="28"/>
          <w:szCs w:val="28"/>
          <w:lang w:bidi="ar"/>
        </w:rPr>
        <w:t>（六）考核人员组成</w:t>
      </w:r>
    </w:p>
    <w:p w14:paraId="1FFA8C49">
      <w:pPr>
        <w:ind w:firstLine="560" w:firstLineChars="200"/>
        <w:rPr>
          <w:rFonts w:ascii="Calibri" w:hAnsi="Calibri" w:eastAsia="宋体" w:cs="Times New Roman"/>
          <w:sz w:val="28"/>
          <w:szCs w:val="28"/>
          <w:lang w:bidi="ar"/>
        </w:rPr>
      </w:pPr>
      <w:r>
        <w:rPr>
          <w:rFonts w:hint="eastAsia" w:ascii="Calibri" w:hAnsi="Calibri" w:eastAsia="宋体" w:cs="Times New Roman"/>
          <w:sz w:val="28"/>
          <w:szCs w:val="28"/>
          <w:lang w:bidi="ar"/>
        </w:rPr>
        <w:t>学位论文答辩委员会一般由不少于5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导师全程回避。</w:t>
      </w:r>
    </w:p>
    <w:p w14:paraId="7A7A9299">
      <w:pPr>
        <w:rPr>
          <w:rFonts w:ascii="Calibri" w:hAnsi="Calibri" w:eastAsia="宋体" w:cs="Times New Roman"/>
          <w:sz w:val="28"/>
          <w:szCs w:val="28"/>
          <w:lang w:bidi="ar"/>
        </w:rPr>
      </w:pPr>
      <w:r>
        <w:rPr>
          <w:rFonts w:hint="eastAsia" w:ascii="Calibri" w:hAnsi="Calibri" w:eastAsia="宋体" w:cs="Times New Roman"/>
          <w:sz w:val="28"/>
          <w:szCs w:val="28"/>
          <w:lang w:bidi="ar"/>
        </w:rPr>
        <w:t>（七）学生申诉处理委员会组成及申诉、议事规则</w:t>
      </w:r>
    </w:p>
    <w:p w14:paraId="7CD26C79">
      <w:pPr>
        <w:ind w:firstLine="560" w:firstLineChars="200"/>
        <w:rPr>
          <w:sz w:val="28"/>
          <w:szCs w:val="28"/>
        </w:rPr>
      </w:pPr>
      <w:r>
        <w:rPr>
          <w:rFonts w:hint="eastAsia" w:ascii="Calibri" w:hAnsi="Calibri" w:eastAsia="宋体" w:cs="Times New Roman"/>
          <w:sz w:val="28"/>
          <w:szCs w:val="28"/>
          <w:lang w:bidi="ar"/>
        </w:rPr>
        <w:t>如对答辩结果有异议，研究生应当在学院公示后的3个工作日内向学院学术委员会提出书面申诉。学院学术委员会应当对学生提出的申诉及时予以复查，并给予明确答复。研究生在规定时间内未提出申诉的，学院将不再受理其申诉。</w:t>
      </w:r>
      <w:bookmarkStart w:id="0" w:name="_GoBack"/>
      <w:bookmarkEnd w:id="0"/>
    </w:p>
    <w:sectPr>
      <w:footerReference r:id="rId4" w:type="default"/>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ksdb"/>
    <w:panose1 w:val="00000000000000000000"/>
    <w:charset w:val="00"/>
    <w:family w:val="auto"/>
    <w:pitch w:val="default"/>
    <w:sig w:usb0="00000000" w:usb1="00000000" w:usb2="00000000" w:usb3="00000000" w:csb0="0000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3979287"/>
    </w:sdtPr>
    <w:sdtContent>
      <w:p w14:paraId="48FC7AB7">
        <w:pPr>
          <w:pStyle w:val="4"/>
          <w:jc w:val="center"/>
        </w:pPr>
        <w:r>
          <w:fldChar w:fldCharType="begin"/>
        </w:r>
        <w:r>
          <w:instrText xml:space="preserve">PAGE   \* MERGEFORMAT</w:instrText>
        </w:r>
        <w:r>
          <w:fldChar w:fldCharType="separate"/>
        </w:r>
        <w:r>
          <w:rPr>
            <w:lang w:val="zh-CN"/>
          </w:rPr>
          <w:t>2</w:t>
        </w:r>
        <w:r>
          <w:fldChar w:fldCharType="end"/>
        </w:r>
      </w:p>
    </w:sdtContent>
  </w:sdt>
  <w:p w14:paraId="1AACD5C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871321"/>
    </w:sdtPr>
    <w:sdtContent>
      <w:p w14:paraId="6CEE409B">
        <w:pPr>
          <w:pStyle w:val="4"/>
          <w:jc w:val="center"/>
        </w:pPr>
        <w:r>
          <w:fldChar w:fldCharType="begin"/>
        </w:r>
        <w:r>
          <w:instrText xml:space="preserve">PAGE   \* MERGEFORMAT</w:instrText>
        </w:r>
        <w:r>
          <w:fldChar w:fldCharType="separate"/>
        </w:r>
        <w:r>
          <w:rPr>
            <w:lang w:val="zh-CN"/>
          </w:rPr>
          <w:t>3</w:t>
        </w:r>
        <w:r>
          <w:fldChar w:fldCharType="end"/>
        </w:r>
      </w:p>
    </w:sdtContent>
  </w:sdt>
  <w:p w14:paraId="54362064">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EC51E6"/>
    <w:rsid w:val="000B4831"/>
    <w:rsid w:val="000E0A2A"/>
    <w:rsid w:val="001210E9"/>
    <w:rsid w:val="001D0440"/>
    <w:rsid w:val="001F1BD0"/>
    <w:rsid w:val="0023603D"/>
    <w:rsid w:val="0025063D"/>
    <w:rsid w:val="0025104D"/>
    <w:rsid w:val="00252EEE"/>
    <w:rsid w:val="00256BAD"/>
    <w:rsid w:val="00264CFD"/>
    <w:rsid w:val="00352B41"/>
    <w:rsid w:val="0036774F"/>
    <w:rsid w:val="00397929"/>
    <w:rsid w:val="003B5494"/>
    <w:rsid w:val="003C4892"/>
    <w:rsid w:val="003E2036"/>
    <w:rsid w:val="004131DA"/>
    <w:rsid w:val="00450957"/>
    <w:rsid w:val="004F53C1"/>
    <w:rsid w:val="005E4146"/>
    <w:rsid w:val="00603285"/>
    <w:rsid w:val="006427AA"/>
    <w:rsid w:val="00660524"/>
    <w:rsid w:val="00680076"/>
    <w:rsid w:val="006A5937"/>
    <w:rsid w:val="006C3B37"/>
    <w:rsid w:val="006C7683"/>
    <w:rsid w:val="006D68F1"/>
    <w:rsid w:val="006F13AD"/>
    <w:rsid w:val="007230E4"/>
    <w:rsid w:val="007568B2"/>
    <w:rsid w:val="00781A09"/>
    <w:rsid w:val="0081779A"/>
    <w:rsid w:val="0082224B"/>
    <w:rsid w:val="00827760"/>
    <w:rsid w:val="00873EA5"/>
    <w:rsid w:val="00881DA2"/>
    <w:rsid w:val="008E53E3"/>
    <w:rsid w:val="008F348F"/>
    <w:rsid w:val="009002F7"/>
    <w:rsid w:val="009055F1"/>
    <w:rsid w:val="009D046F"/>
    <w:rsid w:val="00A233FC"/>
    <w:rsid w:val="00A234A7"/>
    <w:rsid w:val="00A23944"/>
    <w:rsid w:val="00A33793"/>
    <w:rsid w:val="00AB24AD"/>
    <w:rsid w:val="00AC2283"/>
    <w:rsid w:val="00AD2445"/>
    <w:rsid w:val="00B83EC0"/>
    <w:rsid w:val="00BE70CA"/>
    <w:rsid w:val="00C023C4"/>
    <w:rsid w:val="00C85FF0"/>
    <w:rsid w:val="00D0558D"/>
    <w:rsid w:val="00D738AA"/>
    <w:rsid w:val="00DA5F91"/>
    <w:rsid w:val="00DF6CFF"/>
    <w:rsid w:val="00E07D3A"/>
    <w:rsid w:val="00E50377"/>
    <w:rsid w:val="00EF77F5"/>
    <w:rsid w:val="00FF6003"/>
    <w:rsid w:val="02807592"/>
    <w:rsid w:val="06933AC2"/>
    <w:rsid w:val="08D315FC"/>
    <w:rsid w:val="0AD55EAC"/>
    <w:rsid w:val="0ADE4D48"/>
    <w:rsid w:val="0B0920CF"/>
    <w:rsid w:val="0B29590C"/>
    <w:rsid w:val="0B66576D"/>
    <w:rsid w:val="0C8D6BDC"/>
    <w:rsid w:val="0EC2607D"/>
    <w:rsid w:val="0F07744A"/>
    <w:rsid w:val="0F145807"/>
    <w:rsid w:val="0F633064"/>
    <w:rsid w:val="0F765C67"/>
    <w:rsid w:val="12676086"/>
    <w:rsid w:val="141F569C"/>
    <w:rsid w:val="170B0429"/>
    <w:rsid w:val="1D9F6F0B"/>
    <w:rsid w:val="1F0C7867"/>
    <w:rsid w:val="20191D44"/>
    <w:rsid w:val="2064241D"/>
    <w:rsid w:val="210B33C9"/>
    <w:rsid w:val="22EF45AF"/>
    <w:rsid w:val="22FA684E"/>
    <w:rsid w:val="271A4862"/>
    <w:rsid w:val="28F23D74"/>
    <w:rsid w:val="29950DB3"/>
    <w:rsid w:val="2A464B87"/>
    <w:rsid w:val="2A767405"/>
    <w:rsid w:val="2BAD3FB8"/>
    <w:rsid w:val="2C0E3884"/>
    <w:rsid w:val="2E4D329F"/>
    <w:rsid w:val="312561D3"/>
    <w:rsid w:val="333965F6"/>
    <w:rsid w:val="33CA6760"/>
    <w:rsid w:val="36F27132"/>
    <w:rsid w:val="3BAC6A31"/>
    <w:rsid w:val="3CAA473A"/>
    <w:rsid w:val="3D512794"/>
    <w:rsid w:val="3E7C76A8"/>
    <w:rsid w:val="3E87638C"/>
    <w:rsid w:val="3F1C7F01"/>
    <w:rsid w:val="40283239"/>
    <w:rsid w:val="40D639A5"/>
    <w:rsid w:val="41B424D2"/>
    <w:rsid w:val="42CF1C25"/>
    <w:rsid w:val="44966707"/>
    <w:rsid w:val="45127CAB"/>
    <w:rsid w:val="45B76D86"/>
    <w:rsid w:val="494541AC"/>
    <w:rsid w:val="4A3A2C72"/>
    <w:rsid w:val="4AD40FA3"/>
    <w:rsid w:val="4D4D220D"/>
    <w:rsid w:val="503D2BDE"/>
    <w:rsid w:val="51A237A6"/>
    <w:rsid w:val="540E4DDF"/>
    <w:rsid w:val="54807A10"/>
    <w:rsid w:val="554B0F65"/>
    <w:rsid w:val="55EB71AD"/>
    <w:rsid w:val="56B51D70"/>
    <w:rsid w:val="58BB1C6A"/>
    <w:rsid w:val="596E1900"/>
    <w:rsid w:val="5C761673"/>
    <w:rsid w:val="614E4037"/>
    <w:rsid w:val="644843C2"/>
    <w:rsid w:val="6570486F"/>
    <w:rsid w:val="673E32E4"/>
    <w:rsid w:val="68536CAB"/>
    <w:rsid w:val="68572DF1"/>
    <w:rsid w:val="6A9C4AD6"/>
    <w:rsid w:val="6BEC51E6"/>
    <w:rsid w:val="6D890246"/>
    <w:rsid w:val="71405E60"/>
    <w:rsid w:val="73134DC9"/>
    <w:rsid w:val="7458078D"/>
    <w:rsid w:val="77AB4B96"/>
    <w:rsid w:val="788E1B1B"/>
    <w:rsid w:val="78A470BF"/>
    <w:rsid w:val="791C4858"/>
    <w:rsid w:val="7A665B72"/>
    <w:rsid w:val="7ACE4A7B"/>
    <w:rsid w:val="7B3F2748"/>
    <w:rsid w:val="7B5639F3"/>
    <w:rsid w:val="7D31000E"/>
    <w:rsid w:val="7DC04855"/>
    <w:rsid w:val="7EF44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annotation reference"/>
    <w:basedOn w:val="8"/>
    <w:qFormat/>
    <w:uiPriority w:val="0"/>
    <w:rPr>
      <w:sz w:val="21"/>
      <w:szCs w:val="21"/>
    </w:rPr>
  </w:style>
  <w:style w:type="character" w:customStyle="1" w:styleId="11">
    <w:name w:val="页眉 字符"/>
    <w:basedOn w:val="8"/>
    <w:link w:val="5"/>
    <w:qFormat/>
    <w:uiPriority w:val="0"/>
    <w:rPr>
      <w:rFonts w:asciiTheme="minorHAnsi" w:hAnsiTheme="minorHAnsi" w:eastAsiaTheme="minorEastAsia" w:cstheme="minorBidi"/>
      <w:kern w:val="2"/>
      <w:sz w:val="18"/>
      <w:szCs w:val="18"/>
    </w:rPr>
  </w:style>
  <w:style w:type="character" w:customStyle="1" w:styleId="12">
    <w:name w:val="页脚 字符"/>
    <w:basedOn w:val="8"/>
    <w:link w:val="4"/>
    <w:qFormat/>
    <w:uiPriority w:val="99"/>
    <w:rPr>
      <w:rFonts w:asciiTheme="minorHAnsi" w:hAnsiTheme="minorHAnsi" w:eastAsiaTheme="minorEastAsia" w:cstheme="minorBidi"/>
      <w:kern w:val="2"/>
      <w:sz w:val="18"/>
      <w:szCs w:val="18"/>
    </w:rPr>
  </w:style>
  <w:style w:type="character" w:customStyle="1" w:styleId="13">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A9536-BDD2-4371-952B-A06A4952898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1197</Words>
  <Characters>1226</Characters>
  <Lines>45</Lines>
  <Paragraphs>12</Paragraphs>
  <TotalTime>64</TotalTime>
  <ScaleCrop>false</ScaleCrop>
  <LinksUpToDate>false</LinksUpToDate>
  <CharactersWithSpaces>1302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2021-03-17T09:31:00Z</dcterms:created>
  <dc:creator>Jessica</dc:creator>
  <cp:lastModifiedBy>ZJ</cp:lastModifiedBy>
  <dcterms:modified xsi:type="dcterms:W3CDTF">2026-04-08T05:57:56Z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2C6A2C7EB4994E1EB5873D86F4D41133</vt:lpwstr>
  </property>
  <property fmtid="{D5CDD505-2E9C-101B-9397-08002B2CF9AE}" pid="4" name="KSOTemplateDocerSaveRecord">
    <vt:lpwstr>eyJoZGlkIjoiZmNkZDg0ZjNmZWQwZWFiODFjYzgyNWU1YTllNWRkN2EiLCJ1c2VySWQiOiIzNzA5MjQ1NTEifQ==</vt:lpwstr>
  </property>
</Properties>
</file>