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ED3CA7">
      <w:pPr>
        <w:jc w:val="center"/>
        <w:rPr>
          <w:sz w:val="48"/>
          <w:szCs w:val="56"/>
          <w:lang w:val="en-GB"/>
        </w:rPr>
      </w:pPr>
    </w:p>
    <w:p w14:paraId="2D3C9E92">
      <w:pPr>
        <w:jc w:val="center"/>
        <w:rPr>
          <w:sz w:val="48"/>
          <w:szCs w:val="56"/>
        </w:rPr>
      </w:pPr>
    </w:p>
    <w:p w14:paraId="099C20F5">
      <w:pPr>
        <w:jc w:val="center"/>
        <w:rPr>
          <w:rFonts w:ascii="黑体" w:hAnsi="黑体" w:eastAsia="黑体" w:cs="黑体"/>
          <w:b/>
          <w:bCs/>
          <w:sz w:val="62"/>
          <w:szCs w:val="62"/>
        </w:rPr>
      </w:pPr>
      <w:r>
        <w:rPr>
          <w:rFonts w:hint="eastAsia" w:ascii="黑体" w:hAnsi="黑体" w:eastAsia="黑体" w:cs="黑体"/>
          <w:b/>
          <w:bCs/>
          <w:sz w:val="62"/>
          <w:szCs w:val="62"/>
        </w:rPr>
        <w:t>学术学位研究生</w:t>
      </w:r>
    </w:p>
    <w:p w14:paraId="45A90948">
      <w:pPr>
        <w:jc w:val="center"/>
        <w:rPr>
          <w:rFonts w:ascii="黑体" w:hAnsi="黑体" w:eastAsia="黑体" w:cs="黑体"/>
          <w:b/>
          <w:bCs/>
          <w:sz w:val="62"/>
          <w:szCs w:val="62"/>
        </w:rPr>
      </w:pPr>
      <w:r>
        <w:rPr>
          <w:rFonts w:hint="eastAsia" w:ascii="黑体" w:hAnsi="黑体" w:eastAsia="黑体" w:cs="黑体"/>
          <w:b/>
          <w:bCs/>
          <w:sz w:val="62"/>
          <w:szCs w:val="62"/>
        </w:rPr>
        <w:t>实践模块和培养环节实施细则</w:t>
      </w:r>
    </w:p>
    <w:p w14:paraId="00D5E46E">
      <w:pPr>
        <w:jc w:val="center"/>
        <w:rPr>
          <w:b/>
          <w:bCs/>
          <w:sz w:val="52"/>
          <w:szCs w:val="72"/>
        </w:rPr>
      </w:pPr>
    </w:p>
    <w:p w14:paraId="28A8F833">
      <w:pPr>
        <w:jc w:val="center"/>
        <w:rPr>
          <w:sz w:val="48"/>
          <w:szCs w:val="56"/>
        </w:rPr>
      </w:pPr>
    </w:p>
    <w:p w14:paraId="754684C2">
      <w:pPr>
        <w:jc w:val="center"/>
        <w:rPr>
          <w:sz w:val="48"/>
          <w:szCs w:val="56"/>
        </w:rPr>
      </w:pPr>
    </w:p>
    <w:p w14:paraId="2D5FEFB7">
      <w:pPr>
        <w:jc w:val="center"/>
        <w:rPr>
          <w:sz w:val="48"/>
          <w:szCs w:val="56"/>
        </w:rPr>
      </w:pPr>
    </w:p>
    <w:p w14:paraId="547C0AA2">
      <w:pPr>
        <w:jc w:val="center"/>
        <w:rPr>
          <w:sz w:val="48"/>
          <w:szCs w:val="56"/>
        </w:rPr>
      </w:pPr>
    </w:p>
    <w:p w14:paraId="35B0C9CF">
      <w:pPr>
        <w:jc w:val="center"/>
        <w:rPr>
          <w:sz w:val="48"/>
          <w:szCs w:val="56"/>
        </w:rPr>
      </w:pPr>
    </w:p>
    <w:p w14:paraId="5A3AE5AF">
      <w:pPr>
        <w:jc w:val="center"/>
        <w:rPr>
          <w:sz w:val="48"/>
          <w:szCs w:val="56"/>
        </w:rPr>
      </w:pPr>
    </w:p>
    <w:p w14:paraId="208A6276">
      <w:pPr>
        <w:ind w:firstLine="1800" w:firstLineChars="500"/>
        <w:rPr>
          <w:sz w:val="36"/>
          <w:szCs w:val="44"/>
        </w:rPr>
      </w:pPr>
      <w:r>
        <w:rPr>
          <w:rFonts w:hint="eastAsia"/>
          <w:sz w:val="36"/>
          <w:szCs w:val="44"/>
        </w:rPr>
        <w:t xml:space="preserve">学  </w:t>
      </w:r>
      <w:r>
        <w:rPr>
          <w:sz w:val="36"/>
          <w:szCs w:val="44"/>
        </w:rPr>
        <w:t xml:space="preserve">     </w:t>
      </w:r>
      <w:r>
        <w:rPr>
          <w:rFonts w:hint="eastAsia"/>
          <w:sz w:val="36"/>
          <w:szCs w:val="44"/>
        </w:rPr>
        <w:t xml:space="preserve">  科： </w:t>
      </w:r>
      <w:r>
        <w:rPr>
          <w:sz w:val="36"/>
          <w:szCs w:val="44"/>
        </w:rPr>
        <w:t xml:space="preserve">      </w:t>
      </w:r>
      <w:r>
        <w:rPr>
          <w:rFonts w:hint="eastAsia"/>
          <w:sz w:val="36"/>
          <w:szCs w:val="44"/>
        </w:rPr>
        <w:t xml:space="preserve">海洋科学 </w:t>
      </w:r>
      <w:r>
        <w:rPr>
          <w:sz w:val="36"/>
          <w:szCs w:val="44"/>
        </w:rPr>
        <w:t xml:space="preserve">     </w:t>
      </w:r>
      <w:r>
        <w:rPr>
          <w:rFonts w:hint="eastAsia"/>
          <w:sz w:val="36"/>
          <w:szCs w:val="44"/>
        </w:rPr>
        <w:t xml:space="preserve">        </w:t>
      </w:r>
      <w:r>
        <w:rPr>
          <w:sz w:val="36"/>
          <w:szCs w:val="44"/>
        </w:rPr>
        <w:t xml:space="preserve"> </w:t>
      </w:r>
      <w:r>
        <w:rPr>
          <w:rFonts w:hint="eastAsia"/>
          <w:sz w:val="36"/>
          <w:szCs w:val="44"/>
        </w:rPr>
        <w:t xml:space="preserve">    </w:t>
      </w:r>
    </w:p>
    <w:p w14:paraId="77F01451">
      <w:pPr>
        <w:ind w:firstLine="1800" w:firstLineChars="500"/>
        <w:rPr>
          <w:sz w:val="28"/>
          <w:szCs w:val="28"/>
        </w:rPr>
      </w:pPr>
      <w:r>
        <w:rPr>
          <w:rFonts w:hint="eastAsia"/>
          <w:sz w:val="36"/>
          <w:szCs w:val="44"/>
        </w:rPr>
        <w:t xml:space="preserve">学科代码： </w:t>
      </w:r>
      <w:r>
        <w:rPr>
          <w:sz w:val="36"/>
          <w:szCs w:val="44"/>
        </w:rPr>
        <w:t xml:space="preserve">          </w:t>
      </w:r>
      <w:r>
        <w:rPr>
          <w:rFonts w:hint="eastAsia"/>
          <w:sz w:val="36"/>
          <w:szCs w:val="44"/>
        </w:rPr>
        <w:t>070</w:t>
      </w:r>
      <w:r>
        <w:rPr>
          <w:sz w:val="36"/>
          <w:szCs w:val="44"/>
        </w:rPr>
        <w:t xml:space="preserve">7              </w:t>
      </w:r>
      <w:r>
        <w:rPr>
          <w:sz w:val="28"/>
          <w:szCs w:val="28"/>
        </w:rPr>
        <w:t xml:space="preserve"> </w:t>
      </w:r>
    </w:p>
    <w:p w14:paraId="50486441">
      <w:pPr>
        <w:ind w:firstLine="1800" w:firstLineChars="500"/>
        <w:rPr>
          <w:sz w:val="36"/>
          <w:szCs w:val="44"/>
        </w:rPr>
      </w:pPr>
      <w:r>
        <w:rPr>
          <w:rFonts w:hint="eastAsia"/>
          <w:sz w:val="36"/>
          <w:szCs w:val="44"/>
        </w:rPr>
        <w:t xml:space="preserve">授权级别：  </w:t>
      </w:r>
      <w:r>
        <w:rPr>
          <w:sz w:val="36"/>
          <w:szCs w:val="44"/>
        </w:rPr>
        <w:t xml:space="preserve">         </w:t>
      </w:r>
      <w:r>
        <w:rPr>
          <w:rFonts w:hint="eastAsia"/>
          <w:sz w:val="36"/>
          <w:szCs w:val="44"/>
        </w:rPr>
        <w:t xml:space="preserve">博士       </w:t>
      </w:r>
      <w:r>
        <w:rPr>
          <w:sz w:val="36"/>
          <w:szCs w:val="44"/>
        </w:rPr>
        <w:t xml:space="preserve">    </w:t>
      </w:r>
      <w:r>
        <w:rPr>
          <w:rFonts w:hint="eastAsia"/>
          <w:sz w:val="36"/>
          <w:szCs w:val="44"/>
        </w:rPr>
        <w:t xml:space="preserve">     </w:t>
      </w:r>
    </w:p>
    <w:p w14:paraId="043B0322">
      <w:pPr>
        <w:ind w:firstLine="1800" w:firstLineChars="500"/>
        <w:rPr>
          <w:sz w:val="36"/>
          <w:szCs w:val="44"/>
        </w:rPr>
      </w:pPr>
      <w:r>
        <w:rPr>
          <w:rFonts w:hint="eastAsia"/>
          <w:sz w:val="36"/>
          <w:szCs w:val="44"/>
        </w:rPr>
        <w:t xml:space="preserve">制定日期： </w:t>
      </w:r>
      <w:r>
        <w:rPr>
          <w:sz w:val="36"/>
          <w:szCs w:val="44"/>
        </w:rPr>
        <w:t xml:space="preserve"> </w:t>
      </w:r>
      <w:r>
        <w:rPr>
          <w:rFonts w:hint="eastAsia"/>
          <w:sz w:val="36"/>
          <w:szCs w:val="44"/>
        </w:rPr>
        <w:t xml:space="preserve">   202</w:t>
      </w:r>
      <w:r>
        <w:rPr>
          <w:sz w:val="36"/>
          <w:szCs w:val="44"/>
        </w:rPr>
        <w:t>2</w:t>
      </w:r>
      <w:r>
        <w:rPr>
          <w:rFonts w:hint="eastAsia"/>
          <w:sz w:val="36"/>
          <w:szCs w:val="44"/>
        </w:rPr>
        <w:t>年</w:t>
      </w:r>
      <w:r>
        <w:rPr>
          <w:sz w:val="36"/>
          <w:szCs w:val="44"/>
        </w:rPr>
        <w:t>5</w:t>
      </w:r>
      <w:r>
        <w:rPr>
          <w:rFonts w:hint="eastAsia"/>
          <w:sz w:val="36"/>
          <w:szCs w:val="44"/>
        </w:rPr>
        <w:t xml:space="preserve"> 月   </w:t>
      </w:r>
      <w:r>
        <w:rPr>
          <w:rFonts w:hint="eastAsia"/>
          <w:sz w:val="36"/>
          <w:szCs w:val="44"/>
          <w:u w:val="single"/>
        </w:rPr>
        <w:t xml:space="preserve">     </w:t>
      </w:r>
    </w:p>
    <w:p w14:paraId="66F3E9F2">
      <w:pPr>
        <w:ind w:firstLine="1800" w:firstLineChars="500"/>
        <w:rPr>
          <w:sz w:val="36"/>
          <w:szCs w:val="44"/>
        </w:rPr>
      </w:pPr>
    </w:p>
    <w:p w14:paraId="3662C467">
      <w:pPr>
        <w:ind w:firstLine="1800" w:firstLineChars="500"/>
        <w:rPr>
          <w:sz w:val="36"/>
          <w:szCs w:val="44"/>
        </w:rPr>
      </w:pPr>
    </w:p>
    <w:p w14:paraId="061574F2">
      <w:pPr>
        <w:ind w:firstLine="1800" w:firstLineChars="500"/>
        <w:rPr>
          <w:sz w:val="36"/>
          <w:szCs w:val="44"/>
        </w:rPr>
      </w:pPr>
      <w:r>
        <w:rPr>
          <w:rFonts w:hint="eastAsia"/>
          <w:sz w:val="36"/>
          <w:szCs w:val="44"/>
        </w:rPr>
        <w:t>学位评定分委员会主席签字：</w:t>
      </w:r>
    </w:p>
    <w:p w14:paraId="00340D02">
      <w:pPr>
        <w:ind w:firstLine="1800" w:firstLineChars="500"/>
        <w:rPr>
          <w:sz w:val="36"/>
          <w:szCs w:val="44"/>
        </w:rPr>
      </w:pPr>
      <w:r>
        <w:rPr>
          <w:rFonts w:hint="eastAsia"/>
          <w:sz w:val="36"/>
          <w:szCs w:val="44"/>
        </w:rPr>
        <w:t>学院（中心）章：</w:t>
      </w:r>
    </w:p>
    <w:p w14:paraId="67E3B5D4">
      <w:pPr>
        <w:ind w:firstLine="1800" w:firstLineChars="500"/>
        <w:rPr>
          <w:sz w:val="36"/>
          <w:szCs w:val="44"/>
        </w:rPr>
      </w:pPr>
    </w:p>
    <w:p w14:paraId="25C37763">
      <w:pPr>
        <w:rPr>
          <w:sz w:val="36"/>
          <w:szCs w:val="44"/>
        </w:rPr>
      </w:pPr>
    </w:p>
    <w:p w14:paraId="56C7CC02">
      <w:pPr>
        <w:jc w:val="center"/>
        <w:rPr>
          <w:sz w:val="28"/>
          <w:szCs w:val="28"/>
        </w:rPr>
      </w:pPr>
      <w:r>
        <w:rPr>
          <w:rFonts w:hint="eastAsia"/>
          <w:sz w:val="28"/>
          <w:szCs w:val="28"/>
        </w:rPr>
        <w:t>编写说明</w:t>
      </w:r>
    </w:p>
    <w:p w14:paraId="49EA47A9">
      <w:pPr>
        <w:ind w:firstLine="560" w:firstLineChars="200"/>
        <w:rPr>
          <w:sz w:val="28"/>
          <w:szCs w:val="28"/>
        </w:rPr>
      </w:pPr>
      <w:r>
        <w:rPr>
          <w:rFonts w:hint="eastAsia"/>
          <w:sz w:val="28"/>
          <w:szCs w:val="28"/>
        </w:rPr>
        <w:t>请</w:t>
      </w:r>
      <w:r>
        <w:rPr>
          <w:sz w:val="28"/>
          <w:szCs w:val="28"/>
        </w:rPr>
        <w:t>各学科根据《中国海洋大学学术学位研究生培养工作规定（试行）》（海大研字〔2021〕7号）</w:t>
      </w:r>
      <w:r>
        <w:rPr>
          <w:rFonts w:hint="eastAsia"/>
          <w:sz w:val="28"/>
          <w:szCs w:val="28"/>
        </w:rPr>
        <w:t>对照</w:t>
      </w:r>
      <w:r>
        <w:rPr>
          <w:sz w:val="28"/>
          <w:szCs w:val="28"/>
        </w:rPr>
        <w:t>培养方案规定的培养环节</w:t>
      </w:r>
      <w:r>
        <w:rPr>
          <w:rFonts w:hint="eastAsia"/>
          <w:sz w:val="28"/>
          <w:szCs w:val="28"/>
        </w:rPr>
        <w:t>参照</w:t>
      </w:r>
      <w:r>
        <w:rPr>
          <w:sz w:val="28"/>
          <w:szCs w:val="28"/>
        </w:rPr>
        <w:t>本模板制定</w:t>
      </w:r>
      <w:r>
        <w:rPr>
          <w:rFonts w:hint="eastAsia"/>
          <w:sz w:val="28"/>
          <w:szCs w:val="28"/>
        </w:rPr>
        <w:t>科学</w:t>
      </w:r>
      <w:r>
        <w:rPr>
          <w:sz w:val="28"/>
          <w:szCs w:val="28"/>
        </w:rPr>
        <w:t>可行的考核实施细则</w:t>
      </w:r>
      <w:r>
        <w:rPr>
          <w:rFonts w:hint="eastAsia"/>
          <w:sz w:val="28"/>
          <w:szCs w:val="28"/>
        </w:rPr>
        <w:t>。</w:t>
      </w:r>
    </w:p>
    <w:p w14:paraId="3BCBFD8E">
      <w:pPr>
        <w:ind w:firstLine="560" w:firstLineChars="200"/>
        <w:rPr>
          <w:sz w:val="28"/>
          <w:szCs w:val="28"/>
        </w:rPr>
      </w:pPr>
    </w:p>
    <w:p w14:paraId="1BCAFE4A">
      <w:pPr>
        <w:ind w:firstLine="1400" w:firstLineChars="500"/>
        <w:rPr>
          <w:sz w:val="28"/>
          <w:szCs w:val="28"/>
        </w:rPr>
      </w:pPr>
    </w:p>
    <w:p w14:paraId="558A1E38">
      <w:pPr>
        <w:ind w:firstLine="1400" w:firstLineChars="500"/>
        <w:rPr>
          <w:sz w:val="28"/>
          <w:szCs w:val="28"/>
        </w:rPr>
      </w:pPr>
    </w:p>
    <w:p w14:paraId="2EB6332B">
      <w:pPr>
        <w:ind w:firstLine="1400" w:firstLineChars="500"/>
        <w:rPr>
          <w:sz w:val="28"/>
          <w:szCs w:val="28"/>
        </w:rPr>
      </w:pPr>
    </w:p>
    <w:p w14:paraId="1ED5D6E2">
      <w:pPr>
        <w:ind w:firstLine="1400" w:firstLineChars="500"/>
        <w:rPr>
          <w:sz w:val="28"/>
          <w:szCs w:val="28"/>
        </w:rPr>
      </w:pPr>
    </w:p>
    <w:p w14:paraId="0CA162EA">
      <w:pPr>
        <w:ind w:firstLine="1400" w:firstLineChars="500"/>
        <w:rPr>
          <w:sz w:val="28"/>
          <w:szCs w:val="28"/>
        </w:rPr>
      </w:pPr>
    </w:p>
    <w:p w14:paraId="265C5113">
      <w:pPr>
        <w:ind w:firstLine="1400" w:firstLineChars="500"/>
        <w:rPr>
          <w:sz w:val="28"/>
          <w:szCs w:val="28"/>
        </w:rPr>
      </w:pPr>
    </w:p>
    <w:p w14:paraId="3E9F03DE">
      <w:pPr>
        <w:ind w:firstLine="1400" w:firstLineChars="500"/>
        <w:rPr>
          <w:sz w:val="28"/>
          <w:szCs w:val="28"/>
        </w:rPr>
      </w:pPr>
    </w:p>
    <w:p w14:paraId="75643DCD">
      <w:pPr>
        <w:ind w:firstLine="1400" w:firstLineChars="500"/>
        <w:rPr>
          <w:sz w:val="28"/>
          <w:szCs w:val="28"/>
        </w:rPr>
      </w:pPr>
    </w:p>
    <w:p w14:paraId="21A3DFBB">
      <w:pPr>
        <w:ind w:firstLine="1400" w:firstLineChars="500"/>
        <w:rPr>
          <w:sz w:val="28"/>
          <w:szCs w:val="28"/>
        </w:rPr>
      </w:pPr>
    </w:p>
    <w:p w14:paraId="26CABEF5">
      <w:pPr>
        <w:ind w:firstLine="1400" w:firstLineChars="500"/>
        <w:rPr>
          <w:sz w:val="28"/>
          <w:szCs w:val="28"/>
        </w:rPr>
      </w:pPr>
    </w:p>
    <w:p w14:paraId="4B0C956B">
      <w:pPr>
        <w:ind w:firstLine="1400" w:firstLineChars="500"/>
        <w:rPr>
          <w:sz w:val="28"/>
          <w:szCs w:val="28"/>
        </w:rPr>
      </w:pPr>
    </w:p>
    <w:p w14:paraId="3CCD1099">
      <w:pPr>
        <w:ind w:firstLine="1400" w:firstLineChars="500"/>
        <w:rPr>
          <w:sz w:val="28"/>
          <w:szCs w:val="28"/>
        </w:rPr>
      </w:pPr>
    </w:p>
    <w:p w14:paraId="2202988C">
      <w:pPr>
        <w:ind w:firstLine="1400" w:firstLineChars="500"/>
        <w:rPr>
          <w:sz w:val="28"/>
          <w:szCs w:val="28"/>
        </w:rPr>
      </w:pPr>
    </w:p>
    <w:p w14:paraId="58A2F9F7">
      <w:pPr>
        <w:ind w:firstLine="1400" w:firstLineChars="500"/>
        <w:rPr>
          <w:sz w:val="28"/>
          <w:szCs w:val="28"/>
        </w:rPr>
      </w:pPr>
    </w:p>
    <w:p w14:paraId="7F5C6107">
      <w:pPr>
        <w:ind w:firstLine="1400" w:firstLineChars="500"/>
        <w:rPr>
          <w:sz w:val="28"/>
          <w:szCs w:val="28"/>
        </w:rPr>
      </w:pPr>
    </w:p>
    <w:p w14:paraId="160343C1">
      <w:pPr>
        <w:ind w:firstLine="1400" w:firstLineChars="500"/>
        <w:rPr>
          <w:sz w:val="28"/>
          <w:szCs w:val="28"/>
        </w:rPr>
      </w:pPr>
    </w:p>
    <w:p w14:paraId="164B007C">
      <w:pPr>
        <w:ind w:firstLine="1400" w:firstLineChars="500"/>
        <w:rPr>
          <w:sz w:val="28"/>
          <w:szCs w:val="28"/>
        </w:rPr>
      </w:pPr>
    </w:p>
    <w:p w14:paraId="565E3F75">
      <w:pPr>
        <w:ind w:firstLine="1400" w:firstLineChars="500"/>
        <w:rPr>
          <w:sz w:val="28"/>
          <w:szCs w:val="28"/>
        </w:rPr>
      </w:pPr>
    </w:p>
    <w:p w14:paraId="78B53DFF">
      <w:pPr>
        <w:jc w:val="center"/>
        <w:rPr>
          <w:rFonts w:ascii="黑体" w:hAnsi="黑体" w:eastAsia="黑体" w:cs="黑体"/>
          <w:b/>
          <w:bCs/>
          <w:sz w:val="48"/>
          <w:szCs w:val="56"/>
        </w:rPr>
      </w:pPr>
      <w:r>
        <w:rPr>
          <w:rFonts w:hint="eastAsia" w:ascii="黑体" w:hAnsi="黑体" w:eastAsia="黑体" w:cs="黑体"/>
          <w:b/>
          <w:bCs/>
          <w:sz w:val="48"/>
          <w:szCs w:val="56"/>
        </w:rPr>
        <w:t>实践模块和培养环节目录</w:t>
      </w:r>
    </w:p>
    <w:p w14:paraId="5C185F50">
      <w:pPr>
        <w:rPr>
          <w:sz w:val="48"/>
          <w:szCs w:val="56"/>
        </w:rPr>
      </w:pPr>
    </w:p>
    <w:tbl>
      <w:tblPr>
        <w:tblStyle w:val="8"/>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984"/>
        <w:gridCol w:w="2268"/>
        <w:gridCol w:w="1276"/>
      </w:tblGrid>
      <w:tr w14:paraId="7EC42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418" w:type="dxa"/>
            <w:vMerge w:val="restart"/>
            <w:vAlign w:val="center"/>
          </w:tcPr>
          <w:p w14:paraId="2E0D6DAF">
            <w:pPr>
              <w:jc w:val="center"/>
              <w:rPr>
                <w:rFonts w:ascii="黑体" w:hAnsi="黑体" w:eastAsia="黑体" w:cs="黑体"/>
                <w:b/>
                <w:bCs/>
                <w:sz w:val="28"/>
                <w:szCs w:val="28"/>
              </w:rPr>
            </w:pPr>
            <w:r>
              <w:rPr>
                <w:rFonts w:hint="eastAsia" w:ascii="黑体" w:hAnsi="黑体" w:eastAsia="黑体" w:cs="黑体"/>
                <w:b/>
                <w:bCs/>
                <w:sz w:val="28"/>
                <w:szCs w:val="28"/>
              </w:rPr>
              <w:t>序号</w:t>
            </w:r>
          </w:p>
        </w:tc>
        <w:tc>
          <w:tcPr>
            <w:tcW w:w="4252" w:type="dxa"/>
            <w:gridSpan w:val="2"/>
            <w:vAlign w:val="center"/>
          </w:tcPr>
          <w:p w14:paraId="5435A272">
            <w:pPr>
              <w:jc w:val="center"/>
              <w:rPr>
                <w:rFonts w:ascii="黑体" w:hAnsi="黑体" w:eastAsia="黑体" w:cs="黑体"/>
                <w:b/>
                <w:bCs/>
                <w:sz w:val="28"/>
                <w:szCs w:val="28"/>
              </w:rPr>
            </w:pPr>
            <w:r>
              <w:rPr>
                <w:rFonts w:hint="eastAsia" w:ascii="黑体" w:hAnsi="黑体" w:eastAsia="黑体" w:cs="黑体"/>
                <w:b/>
                <w:bCs/>
                <w:sz w:val="28"/>
                <w:szCs w:val="28"/>
              </w:rPr>
              <w:t>实践模块和培养环节</w:t>
            </w:r>
          </w:p>
        </w:tc>
        <w:tc>
          <w:tcPr>
            <w:tcW w:w="1276" w:type="dxa"/>
            <w:vMerge w:val="restart"/>
            <w:shd w:val="clear" w:color="auto" w:fill="FFFFFF" w:themeFill="background1"/>
            <w:vAlign w:val="center"/>
          </w:tcPr>
          <w:p w14:paraId="28A5E162">
            <w:pPr>
              <w:jc w:val="center"/>
              <w:rPr>
                <w:rFonts w:ascii="黑体" w:hAnsi="黑体" w:eastAsia="黑体" w:cs="黑体"/>
                <w:b/>
                <w:bCs/>
                <w:sz w:val="28"/>
                <w:szCs w:val="28"/>
              </w:rPr>
            </w:pPr>
            <w:r>
              <w:rPr>
                <w:rFonts w:hint="eastAsia" w:ascii="黑体" w:hAnsi="黑体" w:eastAsia="黑体" w:cs="黑体"/>
                <w:b/>
                <w:bCs/>
                <w:sz w:val="28"/>
                <w:szCs w:val="28"/>
              </w:rPr>
              <w:t>页码</w:t>
            </w:r>
          </w:p>
        </w:tc>
      </w:tr>
      <w:tr w14:paraId="05B38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418" w:type="dxa"/>
            <w:vMerge w:val="continue"/>
            <w:vAlign w:val="center"/>
          </w:tcPr>
          <w:p w14:paraId="46A4BEB4">
            <w:pPr>
              <w:jc w:val="center"/>
              <w:rPr>
                <w:rFonts w:ascii="Calibri" w:hAnsi="Calibri" w:eastAsia="宋体" w:cs="Times New Roman"/>
                <w:sz w:val="28"/>
                <w:szCs w:val="28"/>
              </w:rPr>
            </w:pPr>
          </w:p>
        </w:tc>
        <w:tc>
          <w:tcPr>
            <w:tcW w:w="1984" w:type="dxa"/>
            <w:vAlign w:val="center"/>
          </w:tcPr>
          <w:p w14:paraId="3934D33C">
            <w:pPr>
              <w:jc w:val="center"/>
              <w:rPr>
                <w:rFonts w:ascii="Calibri" w:hAnsi="Calibri" w:eastAsia="宋体" w:cs="Times New Roman"/>
                <w:sz w:val="28"/>
                <w:szCs w:val="28"/>
              </w:rPr>
            </w:pPr>
            <w:r>
              <w:rPr>
                <w:rFonts w:hint="eastAsia" w:ascii="Calibri" w:hAnsi="Calibri" w:eastAsia="宋体" w:cs="Times New Roman"/>
                <w:sz w:val="28"/>
                <w:szCs w:val="28"/>
              </w:rPr>
              <w:t>硕士</w:t>
            </w:r>
          </w:p>
        </w:tc>
        <w:tc>
          <w:tcPr>
            <w:tcW w:w="2268" w:type="dxa"/>
            <w:vAlign w:val="center"/>
          </w:tcPr>
          <w:p w14:paraId="3A988874">
            <w:pPr>
              <w:jc w:val="center"/>
              <w:rPr>
                <w:sz w:val="28"/>
                <w:szCs w:val="28"/>
              </w:rPr>
            </w:pPr>
            <w:r>
              <w:rPr>
                <w:rFonts w:hint="eastAsia"/>
                <w:sz w:val="28"/>
                <w:szCs w:val="28"/>
              </w:rPr>
              <w:t>博士</w:t>
            </w:r>
          </w:p>
        </w:tc>
        <w:tc>
          <w:tcPr>
            <w:tcW w:w="1276" w:type="dxa"/>
            <w:vMerge w:val="continue"/>
            <w:shd w:val="clear" w:color="auto" w:fill="FFFFFF" w:themeFill="background1"/>
            <w:vAlign w:val="center"/>
          </w:tcPr>
          <w:p w14:paraId="08B793F3">
            <w:pPr>
              <w:ind w:firstLine="1400" w:firstLineChars="500"/>
              <w:jc w:val="center"/>
              <w:rPr>
                <w:sz w:val="28"/>
                <w:szCs w:val="28"/>
              </w:rPr>
            </w:pPr>
          </w:p>
        </w:tc>
      </w:tr>
      <w:tr w14:paraId="75E92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527D1758">
            <w:pPr>
              <w:jc w:val="center"/>
              <w:rPr>
                <w:sz w:val="28"/>
                <w:szCs w:val="28"/>
              </w:rPr>
            </w:pPr>
            <w:r>
              <w:rPr>
                <w:rFonts w:hint="eastAsia" w:ascii="Calibri" w:hAnsi="Calibri" w:eastAsia="宋体" w:cs="Times New Roman"/>
                <w:sz w:val="28"/>
                <w:szCs w:val="28"/>
              </w:rPr>
              <w:t>一</w:t>
            </w:r>
          </w:p>
        </w:tc>
        <w:tc>
          <w:tcPr>
            <w:tcW w:w="4252" w:type="dxa"/>
            <w:gridSpan w:val="2"/>
            <w:vAlign w:val="center"/>
          </w:tcPr>
          <w:p w14:paraId="23F57C1D">
            <w:pPr>
              <w:jc w:val="center"/>
              <w:rPr>
                <w:sz w:val="28"/>
                <w:szCs w:val="28"/>
              </w:rPr>
            </w:pPr>
            <w:r>
              <w:rPr>
                <w:rFonts w:hint="eastAsia" w:ascii="Calibri" w:hAnsi="Calibri" w:eastAsia="宋体" w:cs="Times New Roman"/>
                <w:sz w:val="28"/>
                <w:szCs w:val="28"/>
              </w:rPr>
              <w:t>实践训练</w:t>
            </w:r>
          </w:p>
        </w:tc>
        <w:tc>
          <w:tcPr>
            <w:tcW w:w="1276" w:type="dxa"/>
            <w:shd w:val="clear" w:color="auto" w:fill="FFFFFF" w:themeFill="background1"/>
            <w:vAlign w:val="center"/>
          </w:tcPr>
          <w:p w14:paraId="1BA722A7">
            <w:pPr>
              <w:jc w:val="center"/>
              <w:rPr>
                <w:sz w:val="28"/>
                <w:szCs w:val="28"/>
              </w:rPr>
            </w:pPr>
            <w:r>
              <w:rPr>
                <w:rFonts w:hint="eastAsia"/>
                <w:sz w:val="28"/>
                <w:szCs w:val="28"/>
              </w:rPr>
              <w:t>4</w:t>
            </w:r>
          </w:p>
        </w:tc>
      </w:tr>
      <w:tr w14:paraId="58B8E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0D0C5AB5">
            <w:pPr>
              <w:jc w:val="center"/>
              <w:rPr>
                <w:sz w:val="28"/>
                <w:szCs w:val="28"/>
              </w:rPr>
            </w:pPr>
            <w:r>
              <w:rPr>
                <w:rFonts w:hint="eastAsia" w:ascii="Calibri" w:hAnsi="Calibri" w:eastAsia="宋体" w:cs="Times New Roman"/>
                <w:sz w:val="28"/>
                <w:szCs w:val="28"/>
              </w:rPr>
              <w:t>二</w:t>
            </w:r>
          </w:p>
        </w:tc>
        <w:tc>
          <w:tcPr>
            <w:tcW w:w="4252" w:type="dxa"/>
            <w:gridSpan w:val="2"/>
            <w:vAlign w:val="center"/>
          </w:tcPr>
          <w:p w14:paraId="2E008887">
            <w:pPr>
              <w:jc w:val="center"/>
              <w:rPr>
                <w:sz w:val="28"/>
                <w:szCs w:val="28"/>
              </w:rPr>
            </w:pPr>
            <w:r>
              <w:rPr>
                <w:rFonts w:hint="eastAsia" w:ascii="Calibri" w:hAnsi="Calibri" w:eastAsia="宋体" w:cs="Times New Roman"/>
                <w:sz w:val="28"/>
                <w:szCs w:val="28"/>
              </w:rPr>
              <w:t>学术活动</w:t>
            </w:r>
          </w:p>
        </w:tc>
        <w:tc>
          <w:tcPr>
            <w:tcW w:w="1276" w:type="dxa"/>
            <w:shd w:val="clear" w:color="auto" w:fill="FFFFFF" w:themeFill="background1"/>
            <w:vAlign w:val="center"/>
          </w:tcPr>
          <w:p w14:paraId="6582746A">
            <w:pPr>
              <w:jc w:val="center"/>
              <w:rPr>
                <w:sz w:val="28"/>
                <w:szCs w:val="28"/>
              </w:rPr>
            </w:pPr>
            <w:r>
              <w:rPr>
                <w:rFonts w:hint="eastAsia"/>
                <w:sz w:val="28"/>
                <w:szCs w:val="28"/>
              </w:rPr>
              <w:t>4</w:t>
            </w:r>
          </w:p>
        </w:tc>
      </w:tr>
      <w:tr w14:paraId="404A0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4904B6AD">
            <w:pPr>
              <w:jc w:val="center"/>
              <w:rPr>
                <w:sz w:val="28"/>
                <w:szCs w:val="28"/>
              </w:rPr>
            </w:pPr>
            <w:r>
              <w:rPr>
                <w:rFonts w:hint="eastAsia" w:ascii="Calibri" w:hAnsi="Calibri" w:eastAsia="宋体" w:cs="Times New Roman"/>
                <w:sz w:val="28"/>
                <w:szCs w:val="28"/>
              </w:rPr>
              <w:t>三</w:t>
            </w:r>
          </w:p>
        </w:tc>
        <w:tc>
          <w:tcPr>
            <w:tcW w:w="1984" w:type="dxa"/>
            <w:tcBorders>
              <w:tl2br w:val="single" w:color="auto" w:sz="4" w:space="0"/>
            </w:tcBorders>
            <w:vAlign w:val="center"/>
          </w:tcPr>
          <w:p w14:paraId="54E0D51A">
            <w:pPr>
              <w:jc w:val="center"/>
              <w:rPr>
                <w:sz w:val="28"/>
                <w:szCs w:val="28"/>
              </w:rPr>
            </w:pPr>
          </w:p>
        </w:tc>
        <w:tc>
          <w:tcPr>
            <w:tcW w:w="2268" w:type="dxa"/>
            <w:vAlign w:val="center"/>
          </w:tcPr>
          <w:p w14:paraId="505C2082">
            <w:pPr>
              <w:jc w:val="center"/>
              <w:rPr>
                <w:sz w:val="28"/>
                <w:szCs w:val="28"/>
              </w:rPr>
            </w:pPr>
            <w:r>
              <w:rPr>
                <w:rFonts w:hint="eastAsia" w:ascii="Calibri" w:hAnsi="Calibri" w:eastAsia="宋体" w:cs="Times New Roman"/>
                <w:sz w:val="28"/>
                <w:szCs w:val="28"/>
              </w:rPr>
              <w:t>学科综合考试</w:t>
            </w:r>
          </w:p>
        </w:tc>
        <w:tc>
          <w:tcPr>
            <w:tcW w:w="1276" w:type="dxa"/>
            <w:shd w:val="clear" w:color="auto" w:fill="FFFFFF" w:themeFill="background1"/>
            <w:vAlign w:val="center"/>
          </w:tcPr>
          <w:p w14:paraId="795801CD">
            <w:pPr>
              <w:jc w:val="center"/>
              <w:rPr>
                <w:sz w:val="28"/>
                <w:szCs w:val="28"/>
              </w:rPr>
            </w:pPr>
            <w:r>
              <w:rPr>
                <w:sz w:val="28"/>
                <w:szCs w:val="28"/>
              </w:rPr>
              <w:t>5</w:t>
            </w:r>
          </w:p>
        </w:tc>
      </w:tr>
      <w:tr w14:paraId="72B13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8" w:hRule="atLeast"/>
        </w:trPr>
        <w:tc>
          <w:tcPr>
            <w:tcW w:w="1418" w:type="dxa"/>
            <w:vAlign w:val="center"/>
          </w:tcPr>
          <w:p w14:paraId="7342D5A2">
            <w:pPr>
              <w:jc w:val="center"/>
              <w:rPr>
                <w:sz w:val="28"/>
                <w:szCs w:val="28"/>
              </w:rPr>
            </w:pPr>
            <w:r>
              <w:rPr>
                <w:rFonts w:hint="eastAsia" w:ascii="Calibri" w:hAnsi="Calibri" w:eastAsia="宋体" w:cs="Times New Roman"/>
                <w:sz w:val="28"/>
                <w:szCs w:val="28"/>
              </w:rPr>
              <w:t>四</w:t>
            </w:r>
          </w:p>
        </w:tc>
        <w:tc>
          <w:tcPr>
            <w:tcW w:w="1984" w:type="dxa"/>
            <w:tcBorders>
              <w:tl2br w:val="single" w:color="auto" w:sz="4" w:space="0"/>
            </w:tcBorders>
            <w:vAlign w:val="center"/>
          </w:tcPr>
          <w:p w14:paraId="660A8F67">
            <w:pPr>
              <w:jc w:val="center"/>
              <w:rPr>
                <w:sz w:val="28"/>
                <w:szCs w:val="28"/>
              </w:rPr>
            </w:pPr>
          </w:p>
        </w:tc>
        <w:tc>
          <w:tcPr>
            <w:tcW w:w="2268" w:type="dxa"/>
            <w:vAlign w:val="center"/>
          </w:tcPr>
          <w:p w14:paraId="3E2C3D75">
            <w:pPr>
              <w:jc w:val="center"/>
              <w:rPr>
                <w:sz w:val="28"/>
                <w:szCs w:val="28"/>
              </w:rPr>
            </w:pPr>
            <w:r>
              <w:rPr>
                <w:rFonts w:hint="eastAsia" w:ascii="Calibri" w:hAnsi="Calibri" w:eastAsia="宋体" w:cs="Times New Roman"/>
                <w:sz w:val="28"/>
                <w:szCs w:val="28"/>
              </w:rPr>
              <w:t>开题报告</w:t>
            </w:r>
          </w:p>
        </w:tc>
        <w:tc>
          <w:tcPr>
            <w:tcW w:w="1276" w:type="dxa"/>
            <w:shd w:val="clear" w:color="auto" w:fill="FFFFFF" w:themeFill="background1"/>
            <w:vAlign w:val="center"/>
          </w:tcPr>
          <w:p w14:paraId="423E7F94">
            <w:pPr>
              <w:jc w:val="center"/>
              <w:rPr>
                <w:sz w:val="28"/>
                <w:szCs w:val="28"/>
              </w:rPr>
            </w:pPr>
            <w:r>
              <w:rPr>
                <w:sz w:val="28"/>
                <w:szCs w:val="28"/>
              </w:rPr>
              <w:t>6</w:t>
            </w:r>
          </w:p>
        </w:tc>
      </w:tr>
      <w:tr w14:paraId="7E2A0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7" w:hRule="atLeast"/>
        </w:trPr>
        <w:tc>
          <w:tcPr>
            <w:tcW w:w="1418" w:type="dxa"/>
            <w:vAlign w:val="center"/>
          </w:tcPr>
          <w:p w14:paraId="1348FC23">
            <w:pPr>
              <w:jc w:val="center"/>
              <w:rPr>
                <w:sz w:val="28"/>
                <w:szCs w:val="28"/>
              </w:rPr>
            </w:pPr>
            <w:r>
              <w:rPr>
                <w:rFonts w:hint="eastAsia" w:ascii="Calibri" w:hAnsi="Calibri" w:eastAsia="宋体" w:cs="Times New Roman"/>
                <w:sz w:val="28"/>
                <w:szCs w:val="28"/>
              </w:rPr>
              <w:t>五</w:t>
            </w:r>
          </w:p>
        </w:tc>
        <w:tc>
          <w:tcPr>
            <w:tcW w:w="1984" w:type="dxa"/>
            <w:vAlign w:val="center"/>
          </w:tcPr>
          <w:p w14:paraId="71FD847B">
            <w:pPr>
              <w:jc w:val="center"/>
              <w:rPr>
                <w:sz w:val="28"/>
                <w:szCs w:val="28"/>
              </w:rPr>
            </w:pPr>
            <w:r>
              <w:rPr>
                <w:rFonts w:hint="eastAsia" w:ascii="Calibri" w:hAnsi="Calibri" w:eastAsia="宋体" w:cs="Times New Roman"/>
                <w:sz w:val="28"/>
                <w:szCs w:val="28"/>
              </w:rPr>
              <w:t>开题审核</w:t>
            </w:r>
          </w:p>
        </w:tc>
        <w:tc>
          <w:tcPr>
            <w:tcW w:w="2268" w:type="dxa"/>
            <w:tcBorders>
              <w:tl2br w:val="single" w:color="auto" w:sz="4" w:space="0"/>
            </w:tcBorders>
            <w:vAlign w:val="center"/>
          </w:tcPr>
          <w:p w14:paraId="25D0649C">
            <w:pPr>
              <w:jc w:val="center"/>
              <w:rPr>
                <w:sz w:val="28"/>
                <w:szCs w:val="28"/>
              </w:rPr>
            </w:pPr>
          </w:p>
        </w:tc>
        <w:tc>
          <w:tcPr>
            <w:tcW w:w="1276" w:type="dxa"/>
            <w:shd w:val="clear" w:color="auto" w:fill="FFFFFF" w:themeFill="background1"/>
            <w:vAlign w:val="center"/>
          </w:tcPr>
          <w:p w14:paraId="46B08D50">
            <w:pPr>
              <w:jc w:val="center"/>
              <w:rPr>
                <w:sz w:val="28"/>
                <w:szCs w:val="28"/>
              </w:rPr>
            </w:pPr>
            <w:r>
              <w:rPr>
                <w:rFonts w:hint="eastAsia"/>
                <w:sz w:val="28"/>
                <w:szCs w:val="28"/>
              </w:rPr>
              <w:t>8</w:t>
            </w:r>
          </w:p>
        </w:tc>
      </w:tr>
      <w:tr w14:paraId="7F645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2E018A7B">
            <w:pPr>
              <w:jc w:val="center"/>
              <w:rPr>
                <w:sz w:val="28"/>
                <w:szCs w:val="28"/>
              </w:rPr>
            </w:pPr>
            <w:r>
              <w:rPr>
                <w:rFonts w:hint="eastAsia" w:ascii="Calibri" w:hAnsi="Calibri" w:eastAsia="宋体" w:cs="Times New Roman"/>
                <w:sz w:val="28"/>
                <w:szCs w:val="28"/>
              </w:rPr>
              <w:t>六</w:t>
            </w:r>
          </w:p>
        </w:tc>
        <w:tc>
          <w:tcPr>
            <w:tcW w:w="4252" w:type="dxa"/>
            <w:gridSpan w:val="2"/>
            <w:vAlign w:val="center"/>
          </w:tcPr>
          <w:p w14:paraId="0C2A58FE">
            <w:pPr>
              <w:jc w:val="center"/>
              <w:rPr>
                <w:sz w:val="28"/>
                <w:szCs w:val="28"/>
              </w:rPr>
            </w:pPr>
            <w:r>
              <w:rPr>
                <w:rFonts w:hint="eastAsia" w:ascii="Calibri" w:hAnsi="Calibri" w:eastAsia="宋体" w:cs="Times New Roman"/>
                <w:sz w:val="28"/>
                <w:szCs w:val="28"/>
              </w:rPr>
              <w:t>论文研究进展报告</w:t>
            </w:r>
          </w:p>
        </w:tc>
        <w:tc>
          <w:tcPr>
            <w:tcW w:w="1276" w:type="dxa"/>
            <w:shd w:val="clear" w:color="auto" w:fill="FFFFFF" w:themeFill="background1"/>
            <w:vAlign w:val="center"/>
          </w:tcPr>
          <w:p w14:paraId="4FA4C69D">
            <w:pPr>
              <w:jc w:val="center"/>
              <w:rPr>
                <w:sz w:val="28"/>
                <w:szCs w:val="28"/>
              </w:rPr>
            </w:pPr>
            <w:r>
              <w:rPr>
                <w:rFonts w:hint="eastAsia"/>
                <w:sz w:val="28"/>
                <w:szCs w:val="28"/>
              </w:rPr>
              <w:t>10</w:t>
            </w:r>
          </w:p>
        </w:tc>
      </w:tr>
      <w:tr w14:paraId="138ED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46EAB0C5">
            <w:pPr>
              <w:jc w:val="center"/>
              <w:rPr>
                <w:sz w:val="28"/>
                <w:szCs w:val="28"/>
              </w:rPr>
            </w:pPr>
            <w:r>
              <w:rPr>
                <w:rFonts w:hint="eastAsia" w:ascii="Calibri" w:hAnsi="Calibri" w:eastAsia="宋体" w:cs="Times New Roman"/>
                <w:sz w:val="28"/>
                <w:szCs w:val="28"/>
              </w:rPr>
              <w:t>七</w:t>
            </w:r>
          </w:p>
        </w:tc>
        <w:tc>
          <w:tcPr>
            <w:tcW w:w="1984" w:type="dxa"/>
            <w:tcBorders>
              <w:tl2br w:val="single" w:color="auto" w:sz="4" w:space="0"/>
            </w:tcBorders>
            <w:vAlign w:val="center"/>
          </w:tcPr>
          <w:p w14:paraId="348C53E7">
            <w:pPr>
              <w:jc w:val="center"/>
              <w:rPr>
                <w:sz w:val="28"/>
                <w:szCs w:val="28"/>
              </w:rPr>
            </w:pPr>
          </w:p>
        </w:tc>
        <w:tc>
          <w:tcPr>
            <w:tcW w:w="2268" w:type="dxa"/>
            <w:vAlign w:val="center"/>
          </w:tcPr>
          <w:p w14:paraId="067B92B3">
            <w:pPr>
              <w:jc w:val="center"/>
              <w:rPr>
                <w:sz w:val="28"/>
                <w:szCs w:val="28"/>
              </w:rPr>
            </w:pPr>
            <w:r>
              <w:rPr>
                <w:rFonts w:hint="eastAsia" w:ascii="Calibri" w:hAnsi="Calibri" w:eastAsia="宋体" w:cs="Times New Roman"/>
                <w:sz w:val="28"/>
                <w:szCs w:val="28"/>
              </w:rPr>
              <w:t>学位论文预答辩</w:t>
            </w:r>
          </w:p>
        </w:tc>
        <w:tc>
          <w:tcPr>
            <w:tcW w:w="1276" w:type="dxa"/>
            <w:shd w:val="clear" w:color="auto" w:fill="FFFFFF" w:themeFill="background1"/>
            <w:vAlign w:val="center"/>
          </w:tcPr>
          <w:p w14:paraId="4DB77EF8">
            <w:pPr>
              <w:jc w:val="center"/>
              <w:rPr>
                <w:sz w:val="28"/>
                <w:szCs w:val="28"/>
              </w:rPr>
            </w:pPr>
            <w:r>
              <w:rPr>
                <w:sz w:val="28"/>
                <w:szCs w:val="28"/>
              </w:rPr>
              <w:t>1</w:t>
            </w:r>
            <w:r>
              <w:rPr>
                <w:rFonts w:hint="eastAsia"/>
                <w:sz w:val="28"/>
                <w:szCs w:val="28"/>
              </w:rPr>
              <w:t>1</w:t>
            </w:r>
          </w:p>
        </w:tc>
      </w:tr>
      <w:tr w14:paraId="69A05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698674BE">
            <w:pPr>
              <w:jc w:val="center"/>
              <w:rPr>
                <w:rFonts w:ascii="Calibri" w:hAnsi="Calibri" w:eastAsia="宋体" w:cs="Times New Roman"/>
                <w:sz w:val="28"/>
                <w:szCs w:val="28"/>
              </w:rPr>
            </w:pPr>
            <w:r>
              <w:rPr>
                <w:rFonts w:hint="eastAsia" w:ascii="Calibri" w:hAnsi="Calibri" w:eastAsia="宋体" w:cs="Times New Roman"/>
                <w:sz w:val="28"/>
                <w:szCs w:val="28"/>
              </w:rPr>
              <w:t>八</w:t>
            </w:r>
          </w:p>
        </w:tc>
        <w:tc>
          <w:tcPr>
            <w:tcW w:w="4252" w:type="dxa"/>
            <w:gridSpan w:val="2"/>
            <w:vAlign w:val="center"/>
          </w:tcPr>
          <w:p w14:paraId="663986AC">
            <w:pPr>
              <w:jc w:val="center"/>
              <w:rPr>
                <w:rFonts w:eastAsia="宋体"/>
                <w:sz w:val="28"/>
                <w:szCs w:val="28"/>
              </w:rPr>
            </w:pPr>
            <w:r>
              <w:rPr>
                <w:rFonts w:hint="eastAsia" w:ascii="Calibri" w:hAnsi="Calibri" w:eastAsia="宋体" w:cs="Times New Roman"/>
                <w:sz w:val="28"/>
                <w:szCs w:val="28"/>
              </w:rPr>
              <w:t>学位论文</w:t>
            </w:r>
            <w:r>
              <w:rPr>
                <w:rFonts w:ascii="Calibri" w:hAnsi="Calibri" w:eastAsia="宋体" w:cs="Times New Roman"/>
                <w:sz w:val="28"/>
                <w:szCs w:val="28"/>
              </w:rPr>
              <w:t>答辩</w:t>
            </w:r>
          </w:p>
        </w:tc>
        <w:tc>
          <w:tcPr>
            <w:tcW w:w="1276" w:type="dxa"/>
            <w:shd w:val="clear" w:color="auto" w:fill="FFFFFF" w:themeFill="background1"/>
            <w:vAlign w:val="center"/>
          </w:tcPr>
          <w:p w14:paraId="47F052AB">
            <w:pPr>
              <w:jc w:val="center"/>
              <w:rPr>
                <w:sz w:val="28"/>
                <w:szCs w:val="28"/>
              </w:rPr>
            </w:pPr>
            <w:r>
              <w:rPr>
                <w:sz w:val="28"/>
                <w:szCs w:val="28"/>
              </w:rPr>
              <w:t>1</w:t>
            </w:r>
            <w:r>
              <w:rPr>
                <w:rFonts w:hint="eastAsia"/>
                <w:sz w:val="28"/>
                <w:szCs w:val="28"/>
              </w:rPr>
              <w:t>2</w:t>
            </w:r>
          </w:p>
        </w:tc>
      </w:tr>
      <w:tr w14:paraId="26EE9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vAlign w:val="center"/>
          </w:tcPr>
          <w:p w14:paraId="463650B3">
            <w:pPr>
              <w:jc w:val="center"/>
              <w:rPr>
                <w:rFonts w:ascii="Calibri" w:hAnsi="Calibri" w:eastAsia="宋体" w:cs="Times New Roman"/>
                <w:sz w:val="28"/>
                <w:szCs w:val="28"/>
              </w:rPr>
            </w:pPr>
            <w:r>
              <w:rPr>
                <w:rFonts w:hint="eastAsia" w:ascii="Calibri" w:hAnsi="Calibri" w:eastAsia="宋体" w:cs="Times New Roman"/>
                <w:sz w:val="28"/>
                <w:szCs w:val="28"/>
              </w:rPr>
              <w:t>附件1</w:t>
            </w:r>
            <w:r>
              <w:rPr>
                <w:rFonts w:ascii="Calibri" w:hAnsi="Calibri" w:eastAsia="宋体" w:cs="Times New Roman"/>
                <w:sz w:val="28"/>
                <w:szCs w:val="28"/>
              </w:rPr>
              <w:t>-8</w:t>
            </w:r>
          </w:p>
        </w:tc>
        <w:tc>
          <w:tcPr>
            <w:tcW w:w="4252" w:type="dxa"/>
            <w:gridSpan w:val="2"/>
            <w:vAlign w:val="center"/>
          </w:tcPr>
          <w:p w14:paraId="2CC2C6FC">
            <w:pPr>
              <w:jc w:val="center"/>
              <w:rPr>
                <w:sz w:val="28"/>
                <w:szCs w:val="28"/>
              </w:rPr>
            </w:pPr>
            <w:r>
              <w:rPr>
                <w:rFonts w:hint="eastAsia" w:ascii="Calibri" w:hAnsi="Calibri" w:eastAsia="宋体" w:cs="Times New Roman"/>
                <w:sz w:val="28"/>
                <w:szCs w:val="28"/>
              </w:rPr>
              <w:t>实践模块和培养环节表格</w:t>
            </w:r>
          </w:p>
        </w:tc>
        <w:tc>
          <w:tcPr>
            <w:tcW w:w="1276" w:type="dxa"/>
            <w:shd w:val="clear" w:color="auto" w:fill="FFFFFF" w:themeFill="background1"/>
            <w:vAlign w:val="center"/>
          </w:tcPr>
          <w:p w14:paraId="475870DC">
            <w:pPr>
              <w:jc w:val="center"/>
              <w:rPr>
                <w:sz w:val="28"/>
                <w:szCs w:val="28"/>
              </w:rPr>
            </w:pPr>
            <w:r>
              <w:rPr>
                <w:sz w:val="28"/>
                <w:szCs w:val="28"/>
              </w:rPr>
              <w:t>1</w:t>
            </w:r>
            <w:r>
              <w:rPr>
                <w:rFonts w:hint="eastAsia"/>
                <w:sz w:val="28"/>
                <w:szCs w:val="28"/>
              </w:rPr>
              <w:t>5</w:t>
            </w:r>
          </w:p>
        </w:tc>
      </w:tr>
    </w:tbl>
    <w:p w14:paraId="29C0A750">
      <w:pPr>
        <w:ind w:firstLine="1400" w:firstLineChars="500"/>
        <w:rPr>
          <w:sz w:val="28"/>
          <w:szCs w:val="28"/>
        </w:rPr>
      </w:pPr>
    </w:p>
    <w:p w14:paraId="5EDF64C1">
      <w:pPr>
        <w:ind w:firstLine="1400" w:firstLineChars="500"/>
        <w:rPr>
          <w:sz w:val="28"/>
          <w:szCs w:val="28"/>
        </w:rPr>
      </w:pPr>
    </w:p>
    <w:p w14:paraId="3B291EE6">
      <w:pPr>
        <w:ind w:firstLine="1400" w:firstLineChars="500"/>
        <w:rPr>
          <w:sz w:val="28"/>
          <w:szCs w:val="28"/>
        </w:rPr>
      </w:pPr>
    </w:p>
    <w:p w14:paraId="33932EC7">
      <w:pPr>
        <w:ind w:firstLine="1400" w:firstLineChars="500"/>
        <w:rPr>
          <w:sz w:val="28"/>
          <w:szCs w:val="28"/>
        </w:rPr>
      </w:pPr>
    </w:p>
    <w:p w14:paraId="30765E3D">
      <w:pPr>
        <w:ind w:firstLine="1400" w:firstLineChars="500"/>
        <w:rPr>
          <w:sz w:val="28"/>
          <w:szCs w:val="28"/>
        </w:rPr>
      </w:pPr>
    </w:p>
    <w:p w14:paraId="480A0AC0">
      <w:pPr>
        <w:widowControl/>
        <w:jc w:val="left"/>
        <w:rPr>
          <w:sz w:val="28"/>
          <w:szCs w:val="28"/>
        </w:rPr>
      </w:pPr>
      <w:r>
        <w:rPr>
          <w:sz w:val="28"/>
          <w:szCs w:val="28"/>
        </w:rPr>
        <w:br w:type="page"/>
      </w:r>
    </w:p>
    <w:p w14:paraId="444B3141">
      <w:pPr>
        <w:ind w:firstLine="565" w:firstLineChars="202"/>
        <w:rPr>
          <w:sz w:val="28"/>
          <w:szCs w:val="28"/>
        </w:rPr>
      </w:pPr>
      <w:r>
        <w:rPr>
          <w:rFonts w:hint="eastAsia"/>
          <w:sz w:val="28"/>
          <w:szCs w:val="28"/>
        </w:rPr>
        <w:t>学科依据《中国海洋大学学术学位研究生培养工作规定（试行）》（海大研字〔2021〕7号）制定本实施细则，现将具体事项规定如下：</w:t>
      </w:r>
    </w:p>
    <w:p w14:paraId="13AD6BB9">
      <w:pPr>
        <w:ind w:firstLine="568" w:firstLineChars="202"/>
        <w:rPr>
          <w:b/>
          <w:sz w:val="28"/>
          <w:szCs w:val="28"/>
        </w:rPr>
      </w:pPr>
      <w:r>
        <w:rPr>
          <w:rFonts w:hint="eastAsia"/>
          <w:b/>
          <w:sz w:val="28"/>
          <w:szCs w:val="28"/>
        </w:rPr>
        <w:t>一、实践训练（教学实践、科研训练、社会实践）</w:t>
      </w:r>
    </w:p>
    <w:p w14:paraId="7F0A5B44">
      <w:pPr>
        <w:ind w:firstLine="565" w:firstLineChars="202"/>
        <w:rPr>
          <w:sz w:val="28"/>
          <w:szCs w:val="28"/>
        </w:rPr>
      </w:pPr>
      <w:r>
        <w:rPr>
          <w:rFonts w:hint="eastAsia"/>
          <w:sz w:val="28"/>
          <w:szCs w:val="28"/>
        </w:rPr>
        <w:t>（一）考核内容</w:t>
      </w:r>
    </w:p>
    <w:p w14:paraId="4B5C2F59">
      <w:pPr>
        <w:ind w:firstLine="565" w:firstLineChars="202"/>
        <w:rPr>
          <w:sz w:val="28"/>
          <w:szCs w:val="28"/>
        </w:rPr>
      </w:pPr>
      <w:r>
        <w:rPr>
          <w:rFonts w:hint="eastAsia"/>
          <w:sz w:val="28"/>
          <w:szCs w:val="28"/>
        </w:rPr>
        <w:t>教学实践、科研训练、社会实践。教学实践包括助教、协助本科课程的实践环节、统计教学数据、协助指导本科论文和SRDP项目等内容；科研训练包括参与科研项目研究、申请研究生自主创新项目等内容；社会实践包括参加海洋科普、海洋专业的宣讲、学校或社会活动的志愿者等。</w:t>
      </w:r>
    </w:p>
    <w:p w14:paraId="2A9135B0">
      <w:pPr>
        <w:ind w:firstLine="565" w:firstLineChars="202"/>
        <w:rPr>
          <w:sz w:val="28"/>
          <w:szCs w:val="28"/>
        </w:rPr>
      </w:pPr>
      <w:r>
        <w:rPr>
          <w:rFonts w:hint="eastAsia"/>
          <w:sz w:val="28"/>
          <w:szCs w:val="28"/>
        </w:rPr>
        <w:t>（二）考核时间、方式</w:t>
      </w:r>
    </w:p>
    <w:p w14:paraId="1FC557F0">
      <w:pPr>
        <w:ind w:firstLine="565" w:firstLineChars="202"/>
        <w:rPr>
          <w:sz w:val="28"/>
          <w:szCs w:val="28"/>
        </w:rPr>
      </w:pPr>
      <w:r>
        <w:rPr>
          <w:rFonts w:hint="eastAsia"/>
          <w:sz w:val="28"/>
          <w:szCs w:val="28"/>
        </w:rPr>
        <w:t>最晚毕业资格审核前完成。考核方式：学生提交《中国海洋大学学术学位研究生实践训练总结报告》, 需包括实践训练内容与进度安排；实践训练成果清单；实践总结报告正文（不少于3000字）。导师（组）审核通过或者不通过，学院（中心）审核意见。考核通过者，给予1学分。</w:t>
      </w:r>
    </w:p>
    <w:p w14:paraId="70CB5219">
      <w:pPr>
        <w:ind w:firstLine="565" w:firstLineChars="202"/>
        <w:rPr>
          <w:sz w:val="28"/>
          <w:szCs w:val="28"/>
        </w:rPr>
      </w:pPr>
    </w:p>
    <w:p w14:paraId="431986F6">
      <w:pPr>
        <w:ind w:firstLine="568" w:firstLineChars="202"/>
        <w:rPr>
          <w:b/>
          <w:sz w:val="28"/>
          <w:szCs w:val="28"/>
        </w:rPr>
      </w:pPr>
      <w:r>
        <w:rPr>
          <w:rFonts w:hint="eastAsia"/>
          <w:b/>
          <w:sz w:val="28"/>
          <w:szCs w:val="28"/>
        </w:rPr>
        <w:t>二、学术活动</w:t>
      </w:r>
    </w:p>
    <w:p w14:paraId="455B6B33">
      <w:pPr>
        <w:ind w:firstLine="565" w:firstLineChars="202"/>
        <w:rPr>
          <w:sz w:val="28"/>
          <w:szCs w:val="28"/>
        </w:rPr>
      </w:pPr>
      <w:r>
        <w:rPr>
          <w:rFonts w:hint="eastAsia"/>
          <w:sz w:val="28"/>
          <w:szCs w:val="28"/>
        </w:rPr>
        <w:t>（一）考核内容</w:t>
      </w:r>
    </w:p>
    <w:p w14:paraId="5F2C6994">
      <w:pPr>
        <w:ind w:firstLine="565" w:firstLineChars="202"/>
        <w:rPr>
          <w:sz w:val="28"/>
          <w:szCs w:val="28"/>
        </w:rPr>
      </w:pPr>
      <w:r>
        <w:rPr>
          <w:rFonts w:hint="eastAsia"/>
          <w:sz w:val="28"/>
          <w:szCs w:val="28"/>
        </w:rPr>
        <w:t>学术交流活动，包括学生听学术报告次数和做学术报告次数。</w:t>
      </w:r>
    </w:p>
    <w:p w14:paraId="45DB3BBD">
      <w:pPr>
        <w:ind w:firstLine="565" w:firstLineChars="202"/>
        <w:rPr>
          <w:sz w:val="28"/>
          <w:szCs w:val="28"/>
        </w:rPr>
      </w:pPr>
      <w:r>
        <w:rPr>
          <w:rFonts w:hint="eastAsia"/>
          <w:sz w:val="28"/>
          <w:szCs w:val="28"/>
        </w:rPr>
        <w:t>（二）考核时间、方式</w:t>
      </w:r>
    </w:p>
    <w:p w14:paraId="068FADDC">
      <w:pPr>
        <w:ind w:firstLine="565" w:firstLineChars="202"/>
        <w:rPr>
          <w:sz w:val="28"/>
          <w:szCs w:val="28"/>
        </w:rPr>
      </w:pPr>
      <w:r>
        <w:rPr>
          <w:rFonts w:hint="eastAsia"/>
          <w:sz w:val="28"/>
          <w:szCs w:val="28"/>
        </w:rPr>
        <w:t>最晚毕业资格审核前完成。考核方式：学生提交《中国海洋大学研究生学术活动审核表》。学术报告场次： 硕士不低于8场，博士不低于10场，硕博连读不低于15场，不计学分。对于参加国际学术会议并做会议报告（oral形式）者，给予1学分，硕博连读生要求相同。</w:t>
      </w:r>
    </w:p>
    <w:p w14:paraId="510D8F7C">
      <w:pPr>
        <w:ind w:firstLine="565" w:firstLineChars="202"/>
        <w:rPr>
          <w:sz w:val="28"/>
          <w:szCs w:val="28"/>
        </w:rPr>
      </w:pPr>
      <w:r>
        <w:rPr>
          <w:rFonts w:hint="eastAsia"/>
          <w:sz w:val="28"/>
          <w:szCs w:val="28"/>
        </w:rPr>
        <w:t>考核方式：导师（组）审核通过或者不通过，学院（中心）审核意见。</w:t>
      </w:r>
    </w:p>
    <w:p w14:paraId="10467B97">
      <w:pPr>
        <w:ind w:firstLine="565" w:firstLineChars="202"/>
        <w:rPr>
          <w:sz w:val="28"/>
          <w:szCs w:val="28"/>
        </w:rPr>
      </w:pPr>
    </w:p>
    <w:p w14:paraId="7B0006C6">
      <w:pPr>
        <w:ind w:firstLine="568" w:firstLineChars="202"/>
        <w:rPr>
          <w:b/>
          <w:sz w:val="28"/>
          <w:szCs w:val="28"/>
        </w:rPr>
      </w:pPr>
      <w:r>
        <w:rPr>
          <w:rFonts w:hint="eastAsia"/>
          <w:b/>
          <w:sz w:val="28"/>
          <w:szCs w:val="28"/>
        </w:rPr>
        <w:t>三、学科综合考试</w:t>
      </w:r>
    </w:p>
    <w:p w14:paraId="4B10DF9A">
      <w:pPr>
        <w:ind w:firstLine="565" w:firstLineChars="202"/>
        <w:rPr>
          <w:sz w:val="28"/>
          <w:szCs w:val="28"/>
        </w:rPr>
      </w:pPr>
      <w:r>
        <w:rPr>
          <w:rFonts w:hint="eastAsia"/>
          <w:sz w:val="28"/>
          <w:szCs w:val="28"/>
        </w:rPr>
        <w:t>（一）考核内容</w:t>
      </w:r>
    </w:p>
    <w:p w14:paraId="615EF295">
      <w:pPr>
        <w:ind w:firstLine="565" w:firstLineChars="202"/>
        <w:rPr>
          <w:sz w:val="28"/>
          <w:szCs w:val="28"/>
        </w:rPr>
      </w:pPr>
      <w:r>
        <w:rPr>
          <w:rFonts w:hint="eastAsia"/>
          <w:sz w:val="28"/>
          <w:szCs w:val="28"/>
        </w:rPr>
        <w:t>考核内容包含外语水平、专业知识和研究能力，以笔试方式考核。外语水平考核英语文献阅读能力和科技英语写作能力，占20%；专业知识考核涵盖基础课和核心专业课所涉及的专业基础知识及应用；研究能力考核包括提出科学问题能力、批判性分析能力、逻辑思维能力等。专业知识和研究能力占80%。</w:t>
      </w:r>
    </w:p>
    <w:p w14:paraId="128D1D97">
      <w:pPr>
        <w:ind w:firstLine="565" w:firstLineChars="202"/>
        <w:rPr>
          <w:sz w:val="28"/>
          <w:szCs w:val="28"/>
        </w:rPr>
      </w:pPr>
      <w:r>
        <w:rPr>
          <w:rFonts w:hint="eastAsia"/>
          <w:sz w:val="28"/>
          <w:szCs w:val="28"/>
        </w:rPr>
        <w:t>（二）考核标准</w:t>
      </w:r>
    </w:p>
    <w:p w14:paraId="4AB4ED11">
      <w:pPr>
        <w:ind w:firstLine="565" w:firstLineChars="202"/>
        <w:rPr>
          <w:sz w:val="28"/>
          <w:szCs w:val="28"/>
        </w:rPr>
      </w:pPr>
      <w:r>
        <w:rPr>
          <w:rFonts w:hint="eastAsia"/>
          <w:sz w:val="28"/>
          <w:szCs w:val="28"/>
        </w:rPr>
        <w:t>考核标准分为通过、暂缓通过和不通过。满分值为100分，学生成绩≥70分且排名前8</w:t>
      </w:r>
      <w:r>
        <w:rPr>
          <w:sz w:val="28"/>
          <w:szCs w:val="28"/>
        </w:rPr>
        <w:t>5</w:t>
      </w:r>
      <w:r>
        <w:rPr>
          <w:rFonts w:hint="eastAsia"/>
          <w:sz w:val="28"/>
          <w:szCs w:val="28"/>
        </w:rPr>
        <w:t>%为通过，60分以下为不通过，其余为暂缓通过。第一次综合考试通过的比例不高于85%。对于第一次学科综合考试成绩暂缓通过者，可在三个月后申请第二次学科综合考试或参加低年级学科综合考试；第一次学科综合考试成绩不通过和第二次学科综合考试仍未通过者，须参加低年级学科综合考试。博士在读期间最多可参加三次，三次考核仍未通过者，予以退学或转为硕士生。考核通过者可以进行博士学位论文开题，暂缓通过和不通过者不得进入博士学位论文开题，不予推荐参加国家和学校的公派留学项目。</w:t>
      </w:r>
    </w:p>
    <w:p w14:paraId="19F77C65">
      <w:pPr>
        <w:ind w:firstLine="565" w:firstLineChars="202"/>
        <w:rPr>
          <w:sz w:val="28"/>
          <w:szCs w:val="28"/>
        </w:rPr>
      </w:pPr>
      <w:r>
        <w:rPr>
          <w:rFonts w:hint="eastAsia"/>
          <w:sz w:val="28"/>
          <w:szCs w:val="28"/>
        </w:rPr>
        <w:t>（三）考核时间</w:t>
      </w:r>
    </w:p>
    <w:p w14:paraId="466BF2A7">
      <w:pPr>
        <w:ind w:firstLine="565" w:firstLineChars="202"/>
        <w:rPr>
          <w:sz w:val="28"/>
          <w:szCs w:val="28"/>
        </w:rPr>
      </w:pPr>
      <w:r>
        <w:rPr>
          <w:rFonts w:hint="eastAsia"/>
          <w:sz w:val="28"/>
          <w:szCs w:val="28"/>
        </w:rPr>
        <w:t>二年级第</w:t>
      </w:r>
      <w:r>
        <w:rPr>
          <w:sz w:val="28"/>
          <w:szCs w:val="28"/>
        </w:rPr>
        <w:t>1</w:t>
      </w:r>
      <w:r>
        <w:rPr>
          <w:rFonts w:hint="eastAsia"/>
          <w:sz w:val="28"/>
          <w:szCs w:val="28"/>
        </w:rPr>
        <w:t>个学期内进行。学生原则上在修满个人培养计划规定的全部课程学分后申请参加学科综合考试。</w:t>
      </w:r>
    </w:p>
    <w:p w14:paraId="3648C0D8">
      <w:pPr>
        <w:ind w:firstLine="565" w:firstLineChars="202"/>
        <w:rPr>
          <w:sz w:val="28"/>
          <w:szCs w:val="28"/>
        </w:rPr>
      </w:pPr>
      <w:r>
        <w:rPr>
          <w:rFonts w:hint="eastAsia"/>
          <w:sz w:val="28"/>
          <w:szCs w:val="28"/>
        </w:rPr>
        <w:t>（四）考核方式</w:t>
      </w:r>
    </w:p>
    <w:p w14:paraId="201ADF95">
      <w:pPr>
        <w:ind w:firstLine="565" w:firstLineChars="202"/>
        <w:rPr>
          <w:sz w:val="28"/>
          <w:szCs w:val="28"/>
        </w:rPr>
      </w:pPr>
      <w:r>
        <w:rPr>
          <w:rFonts w:hint="eastAsia"/>
          <w:sz w:val="28"/>
          <w:szCs w:val="28"/>
        </w:rPr>
        <w:t>笔试。</w:t>
      </w:r>
    </w:p>
    <w:p w14:paraId="42002B0C">
      <w:pPr>
        <w:ind w:firstLine="565" w:firstLineChars="202"/>
        <w:rPr>
          <w:sz w:val="28"/>
          <w:szCs w:val="28"/>
        </w:rPr>
      </w:pPr>
      <w:r>
        <w:rPr>
          <w:rFonts w:hint="eastAsia"/>
          <w:sz w:val="28"/>
          <w:szCs w:val="28"/>
        </w:rPr>
        <w:t>（五）考核程序</w:t>
      </w:r>
    </w:p>
    <w:p w14:paraId="1B8055FC">
      <w:pPr>
        <w:ind w:firstLine="565" w:firstLineChars="202"/>
        <w:rPr>
          <w:sz w:val="28"/>
          <w:szCs w:val="28"/>
        </w:rPr>
      </w:pPr>
      <w:r>
        <w:rPr>
          <w:rFonts w:hint="eastAsia"/>
          <w:sz w:val="28"/>
          <w:szCs w:val="28"/>
        </w:rPr>
        <w:t>由各二级学科统一组织笔试考题的题目，并组织考生进行笔试。按照成绩排名进行考核。</w:t>
      </w:r>
    </w:p>
    <w:p w14:paraId="256F6A3B">
      <w:pPr>
        <w:ind w:firstLine="565" w:firstLineChars="202"/>
        <w:rPr>
          <w:sz w:val="28"/>
          <w:szCs w:val="28"/>
        </w:rPr>
      </w:pPr>
      <w:r>
        <w:rPr>
          <w:rFonts w:hint="eastAsia"/>
          <w:sz w:val="28"/>
          <w:szCs w:val="28"/>
        </w:rPr>
        <w:t>（六）考核人员组成</w:t>
      </w:r>
    </w:p>
    <w:p w14:paraId="3E4B306D">
      <w:pPr>
        <w:ind w:firstLine="565" w:firstLineChars="202"/>
        <w:rPr>
          <w:sz w:val="28"/>
          <w:szCs w:val="28"/>
        </w:rPr>
      </w:pPr>
      <w:r>
        <w:rPr>
          <w:rFonts w:hint="eastAsia"/>
          <w:sz w:val="28"/>
          <w:szCs w:val="28"/>
        </w:rPr>
        <w:t>各二级学科组成考核小组，成员包括负责人员、监督人员、命题人员、成绩统计人员和成绩复核人员。</w:t>
      </w:r>
    </w:p>
    <w:p w14:paraId="658D9B04">
      <w:pPr>
        <w:ind w:firstLine="565" w:firstLineChars="202"/>
        <w:rPr>
          <w:sz w:val="28"/>
          <w:szCs w:val="28"/>
        </w:rPr>
      </w:pPr>
      <w:r>
        <w:rPr>
          <w:rFonts w:hint="eastAsia"/>
          <w:sz w:val="28"/>
          <w:szCs w:val="28"/>
        </w:rPr>
        <w:t>（七）学生申诉处理委员会组成及申诉、议事规则</w:t>
      </w:r>
    </w:p>
    <w:p w14:paraId="0480C4FE">
      <w:pPr>
        <w:ind w:firstLine="565" w:firstLineChars="202"/>
        <w:rPr>
          <w:sz w:val="28"/>
          <w:szCs w:val="28"/>
        </w:rPr>
      </w:pPr>
      <w:r>
        <w:rPr>
          <w:rFonts w:hint="eastAsia"/>
          <w:sz w:val="28"/>
          <w:szCs w:val="28"/>
        </w:rPr>
        <w:t>学生申诉处理委员会由各二级学科所在学院党委书记、院长、主管研究生工作的副院长、纪检委员、系主任和研究生秘书组成。</w:t>
      </w:r>
    </w:p>
    <w:p w14:paraId="5B120443">
      <w:pPr>
        <w:ind w:firstLine="565" w:firstLineChars="202"/>
        <w:rPr>
          <w:sz w:val="28"/>
          <w:szCs w:val="28"/>
        </w:rPr>
      </w:pPr>
      <w:r>
        <w:rPr>
          <w:rFonts w:hint="eastAsia"/>
          <w:sz w:val="28"/>
          <w:szCs w:val="28"/>
        </w:rPr>
        <w:t>学生申诉须提出书面申请，由申诉处理委员会聘请专门人员进行试卷查阅、成绩复核等，并给出书面审核结论。</w:t>
      </w:r>
    </w:p>
    <w:p w14:paraId="5D3A5CD3">
      <w:pPr>
        <w:ind w:firstLine="565" w:firstLineChars="202"/>
        <w:rPr>
          <w:sz w:val="28"/>
          <w:szCs w:val="28"/>
        </w:rPr>
      </w:pPr>
    </w:p>
    <w:p w14:paraId="2307E65E">
      <w:pPr>
        <w:ind w:firstLine="568" w:firstLineChars="202"/>
        <w:rPr>
          <w:b/>
          <w:sz w:val="28"/>
          <w:szCs w:val="28"/>
        </w:rPr>
      </w:pPr>
      <w:r>
        <w:rPr>
          <w:rFonts w:hint="eastAsia"/>
          <w:b/>
          <w:sz w:val="28"/>
          <w:szCs w:val="28"/>
        </w:rPr>
        <w:t>四、开题报告（博士生）</w:t>
      </w:r>
    </w:p>
    <w:p w14:paraId="011D6437">
      <w:pPr>
        <w:ind w:firstLine="565" w:firstLineChars="202"/>
        <w:rPr>
          <w:sz w:val="28"/>
          <w:szCs w:val="28"/>
        </w:rPr>
      </w:pPr>
      <w:r>
        <w:rPr>
          <w:rFonts w:hint="eastAsia"/>
          <w:sz w:val="28"/>
          <w:szCs w:val="28"/>
        </w:rPr>
        <w:t>（一）考核内容</w:t>
      </w:r>
    </w:p>
    <w:p w14:paraId="5F9A5112">
      <w:pPr>
        <w:ind w:firstLine="565" w:firstLineChars="202"/>
        <w:rPr>
          <w:sz w:val="28"/>
          <w:szCs w:val="28"/>
        </w:rPr>
      </w:pPr>
      <w:r>
        <w:rPr>
          <w:rFonts w:hint="eastAsia"/>
          <w:sz w:val="28"/>
          <w:szCs w:val="28"/>
        </w:rPr>
        <w:t>考核内容包含论文选题依据，国内外研究现状分析，研究的科学问题，研究目标与内容，研究计划，预期成果等。重点考核研究内容的创新性、科学性和可行性。</w:t>
      </w:r>
    </w:p>
    <w:p w14:paraId="3E24F722">
      <w:pPr>
        <w:ind w:firstLine="565" w:firstLineChars="202"/>
        <w:rPr>
          <w:sz w:val="28"/>
          <w:szCs w:val="28"/>
        </w:rPr>
      </w:pPr>
      <w:r>
        <w:rPr>
          <w:rFonts w:hint="eastAsia"/>
          <w:sz w:val="28"/>
          <w:szCs w:val="28"/>
        </w:rPr>
        <w:t>（二）考核标准</w:t>
      </w:r>
    </w:p>
    <w:p w14:paraId="2B299F41">
      <w:pPr>
        <w:ind w:firstLine="565" w:firstLineChars="202"/>
        <w:rPr>
          <w:sz w:val="28"/>
          <w:szCs w:val="28"/>
        </w:rPr>
      </w:pPr>
      <w:r>
        <w:rPr>
          <w:rFonts w:hint="eastAsia"/>
          <w:sz w:val="28"/>
          <w:szCs w:val="28"/>
        </w:rPr>
        <w:t>考核结果分为通过和暂缓通过。</w:t>
      </w:r>
      <w:r>
        <w:rPr>
          <w:sz w:val="28"/>
          <w:szCs w:val="28"/>
        </w:rPr>
        <w:t>开题报告采用</w:t>
      </w:r>
      <w:r>
        <w:rPr>
          <w:rFonts w:hint="eastAsia"/>
          <w:sz w:val="28"/>
          <w:szCs w:val="28"/>
        </w:rPr>
        <w:t>专家组</w:t>
      </w:r>
      <w:r>
        <w:rPr>
          <w:sz w:val="28"/>
          <w:szCs w:val="28"/>
        </w:rPr>
        <w:t>评分制</w:t>
      </w:r>
      <w:r>
        <w:rPr>
          <w:rFonts w:hint="eastAsia"/>
          <w:sz w:val="28"/>
          <w:szCs w:val="28"/>
        </w:rPr>
        <w:t>，满分值为100分。学生成绩≥70分为通过，其余为暂缓通过。对于第一次开题暂缓通过者，经评审小组同意，可在三个月后重新开题。两次开题仍未通过者，予以退学或转为硕士生。开题报告通过后，若论文选题有重大修改，则应在规定时间内重新开题。</w:t>
      </w:r>
    </w:p>
    <w:p w14:paraId="76CF5A86">
      <w:pPr>
        <w:ind w:firstLine="565" w:firstLineChars="202"/>
        <w:rPr>
          <w:sz w:val="28"/>
          <w:szCs w:val="28"/>
        </w:rPr>
      </w:pPr>
      <w:r>
        <w:rPr>
          <w:rFonts w:hint="eastAsia"/>
          <w:sz w:val="28"/>
          <w:szCs w:val="28"/>
        </w:rPr>
        <w:t>（三）考核时间</w:t>
      </w:r>
    </w:p>
    <w:p w14:paraId="0BD0C5B0">
      <w:pPr>
        <w:ind w:firstLine="565" w:firstLineChars="202"/>
        <w:rPr>
          <w:sz w:val="28"/>
          <w:szCs w:val="28"/>
        </w:rPr>
      </w:pPr>
      <w:r>
        <w:rPr>
          <w:rFonts w:hint="eastAsia"/>
          <w:sz w:val="28"/>
          <w:szCs w:val="28"/>
        </w:rPr>
        <w:t>博士研究生开题报告安排在二年级第1个学期内、综合考试后举行。开题报告和论文答辩时间间隔要求不少于2年。符合提前毕业条件者，可放宽开题与答辩间隔要求。</w:t>
      </w:r>
    </w:p>
    <w:p w14:paraId="633C9FEA">
      <w:pPr>
        <w:ind w:firstLine="565" w:firstLineChars="202"/>
        <w:rPr>
          <w:sz w:val="28"/>
          <w:szCs w:val="28"/>
        </w:rPr>
      </w:pPr>
      <w:r>
        <w:rPr>
          <w:rFonts w:hint="eastAsia"/>
          <w:sz w:val="28"/>
          <w:szCs w:val="28"/>
        </w:rPr>
        <w:t>（四）考核方式</w:t>
      </w:r>
    </w:p>
    <w:p w14:paraId="27CFCFF1">
      <w:pPr>
        <w:ind w:firstLine="565" w:firstLineChars="202"/>
        <w:rPr>
          <w:sz w:val="28"/>
          <w:szCs w:val="28"/>
        </w:rPr>
      </w:pPr>
      <w:r>
        <w:rPr>
          <w:rFonts w:hint="eastAsia"/>
          <w:sz w:val="28"/>
          <w:szCs w:val="28"/>
        </w:rPr>
        <w:t>以会议方式进行，由各二级学科自行组织专家组进行开题报告考核，可以分组考核。</w:t>
      </w:r>
    </w:p>
    <w:p w14:paraId="6A6914A9">
      <w:pPr>
        <w:ind w:firstLine="565" w:firstLineChars="202"/>
        <w:rPr>
          <w:sz w:val="28"/>
          <w:szCs w:val="28"/>
        </w:rPr>
      </w:pPr>
      <w:r>
        <w:rPr>
          <w:rFonts w:hint="eastAsia"/>
          <w:sz w:val="28"/>
          <w:szCs w:val="28"/>
        </w:rPr>
        <w:t>（五）考核程序</w:t>
      </w:r>
    </w:p>
    <w:p w14:paraId="5C4A7581">
      <w:pPr>
        <w:ind w:firstLine="565" w:firstLineChars="202"/>
        <w:rPr>
          <w:sz w:val="28"/>
          <w:szCs w:val="28"/>
        </w:rPr>
      </w:pPr>
      <w:r>
        <w:rPr>
          <w:rFonts w:hint="eastAsia"/>
          <w:sz w:val="28"/>
          <w:szCs w:val="28"/>
        </w:rPr>
        <w:t>由专家组对开题报告进行打分并计算平均成绩，确定通过或者暂缓通过名单。</w:t>
      </w:r>
    </w:p>
    <w:p w14:paraId="2F8AB519">
      <w:pPr>
        <w:ind w:firstLine="565" w:firstLineChars="202"/>
        <w:rPr>
          <w:sz w:val="28"/>
          <w:szCs w:val="28"/>
        </w:rPr>
      </w:pPr>
      <w:r>
        <w:rPr>
          <w:rFonts w:hint="eastAsia"/>
          <w:sz w:val="28"/>
          <w:szCs w:val="28"/>
        </w:rPr>
        <w:t>（六）考核人员组成</w:t>
      </w:r>
    </w:p>
    <w:p w14:paraId="775254BF">
      <w:pPr>
        <w:ind w:firstLine="565" w:firstLineChars="202"/>
        <w:rPr>
          <w:sz w:val="28"/>
          <w:szCs w:val="28"/>
        </w:rPr>
      </w:pPr>
      <w:r>
        <w:rPr>
          <w:rFonts w:hint="eastAsia"/>
          <w:sz w:val="28"/>
          <w:szCs w:val="28"/>
        </w:rPr>
        <w:t>各二级学科组成考核专家组，博士研究生开题报告专家组需至少5名专家组成，其中至少包含博士生导师2名以上，</w:t>
      </w:r>
      <w:r>
        <w:rPr>
          <w:sz w:val="28"/>
          <w:szCs w:val="28"/>
        </w:rPr>
        <w:t>导师不作为考核</w:t>
      </w:r>
      <w:r>
        <w:rPr>
          <w:rFonts w:hint="eastAsia"/>
          <w:sz w:val="28"/>
          <w:szCs w:val="28"/>
        </w:rPr>
        <w:t>专家组</w:t>
      </w:r>
      <w:r>
        <w:rPr>
          <w:sz w:val="28"/>
          <w:szCs w:val="28"/>
        </w:rPr>
        <w:t>成员</w:t>
      </w:r>
      <w:r>
        <w:rPr>
          <w:rFonts w:hint="eastAsia"/>
          <w:sz w:val="28"/>
          <w:szCs w:val="28"/>
        </w:rPr>
        <w:t>。工作人员包括会议记录人员、成绩统计人员和成绩复核人员。</w:t>
      </w:r>
    </w:p>
    <w:p w14:paraId="2C8A2D55">
      <w:pPr>
        <w:ind w:firstLine="565" w:firstLineChars="202"/>
        <w:rPr>
          <w:sz w:val="28"/>
          <w:szCs w:val="28"/>
        </w:rPr>
      </w:pPr>
      <w:r>
        <w:rPr>
          <w:rFonts w:hint="eastAsia"/>
          <w:sz w:val="28"/>
          <w:szCs w:val="28"/>
        </w:rPr>
        <w:t>（七）学生申诉处理委员会组成及申诉、议事规则</w:t>
      </w:r>
    </w:p>
    <w:p w14:paraId="4BF9D8CA">
      <w:pPr>
        <w:ind w:firstLine="565" w:firstLineChars="202"/>
        <w:rPr>
          <w:sz w:val="28"/>
          <w:szCs w:val="28"/>
        </w:rPr>
      </w:pPr>
      <w:r>
        <w:rPr>
          <w:rFonts w:hint="eastAsia"/>
          <w:sz w:val="28"/>
          <w:szCs w:val="28"/>
        </w:rPr>
        <w:t>学生申诉委员会由各二级学科所在学院党委书记、院长、主管研究生工作的副院长、纪检委员、系主任和研究生秘书组成。</w:t>
      </w:r>
    </w:p>
    <w:p w14:paraId="4AFE9F17">
      <w:pPr>
        <w:ind w:firstLine="565" w:firstLineChars="202"/>
        <w:rPr>
          <w:sz w:val="28"/>
          <w:szCs w:val="28"/>
        </w:rPr>
      </w:pPr>
      <w:r>
        <w:rPr>
          <w:rFonts w:hint="eastAsia"/>
          <w:sz w:val="28"/>
          <w:szCs w:val="28"/>
        </w:rPr>
        <w:t>学生申诉须提出书面申请，由申诉处理委员会进行审核等，并给出书面审核结论。</w:t>
      </w:r>
    </w:p>
    <w:p w14:paraId="252A09CD">
      <w:pPr>
        <w:ind w:firstLine="565" w:firstLineChars="202"/>
        <w:rPr>
          <w:sz w:val="28"/>
          <w:szCs w:val="28"/>
        </w:rPr>
      </w:pPr>
    </w:p>
    <w:p w14:paraId="58C6CC25">
      <w:pPr>
        <w:ind w:firstLine="568" w:firstLineChars="202"/>
        <w:rPr>
          <w:b/>
          <w:sz w:val="28"/>
          <w:szCs w:val="28"/>
        </w:rPr>
      </w:pPr>
      <w:r>
        <w:rPr>
          <w:rFonts w:hint="eastAsia"/>
          <w:b/>
          <w:sz w:val="28"/>
          <w:szCs w:val="28"/>
        </w:rPr>
        <w:t>五、开题审核（硕士生）</w:t>
      </w:r>
    </w:p>
    <w:p w14:paraId="5D929D01">
      <w:pPr>
        <w:ind w:firstLine="565" w:firstLineChars="202"/>
        <w:rPr>
          <w:sz w:val="28"/>
          <w:szCs w:val="28"/>
        </w:rPr>
      </w:pPr>
      <w:r>
        <w:rPr>
          <w:rFonts w:hint="eastAsia"/>
          <w:sz w:val="28"/>
          <w:szCs w:val="28"/>
        </w:rPr>
        <w:t>（一）考核内容</w:t>
      </w:r>
    </w:p>
    <w:p w14:paraId="5C9E08FA">
      <w:pPr>
        <w:ind w:firstLine="565" w:firstLineChars="202"/>
        <w:rPr>
          <w:sz w:val="28"/>
          <w:szCs w:val="28"/>
        </w:rPr>
      </w:pPr>
      <w:r>
        <w:rPr>
          <w:rFonts w:hint="eastAsia"/>
          <w:sz w:val="28"/>
          <w:szCs w:val="28"/>
        </w:rPr>
        <w:t>考核内容包含个人鉴定，开题报告，思想政治考核和导师评价，专家组审核等。论文选题依据，国内外研究现状分析，研究的科学问题，研究目标与内容，研究计划，预期成果等。重点考核研究内容的科学性、创新性和可行性。</w:t>
      </w:r>
    </w:p>
    <w:p w14:paraId="35CB41F4">
      <w:pPr>
        <w:ind w:firstLine="565" w:firstLineChars="202"/>
        <w:rPr>
          <w:sz w:val="28"/>
          <w:szCs w:val="28"/>
        </w:rPr>
      </w:pPr>
      <w:r>
        <w:rPr>
          <w:rFonts w:hint="eastAsia"/>
          <w:sz w:val="28"/>
          <w:szCs w:val="28"/>
        </w:rPr>
        <w:t>（二）考核标准</w:t>
      </w:r>
    </w:p>
    <w:p w14:paraId="51ADED07">
      <w:pPr>
        <w:ind w:firstLine="565" w:firstLineChars="202"/>
        <w:rPr>
          <w:sz w:val="28"/>
          <w:szCs w:val="28"/>
        </w:rPr>
      </w:pPr>
      <w:r>
        <w:rPr>
          <w:rFonts w:hint="eastAsia"/>
          <w:sz w:val="28"/>
          <w:szCs w:val="28"/>
        </w:rPr>
        <w:t>考核结果分为通过、暂缓通过和不通过。</w:t>
      </w:r>
      <w:r>
        <w:rPr>
          <w:sz w:val="28"/>
          <w:szCs w:val="28"/>
        </w:rPr>
        <w:t>开题</w:t>
      </w:r>
      <w:r>
        <w:rPr>
          <w:rFonts w:hint="eastAsia"/>
          <w:sz w:val="28"/>
          <w:szCs w:val="28"/>
        </w:rPr>
        <w:t>审核</w:t>
      </w:r>
      <w:r>
        <w:rPr>
          <w:sz w:val="28"/>
          <w:szCs w:val="28"/>
        </w:rPr>
        <w:t>采用</w:t>
      </w:r>
      <w:r>
        <w:rPr>
          <w:rFonts w:hint="eastAsia"/>
          <w:sz w:val="28"/>
          <w:szCs w:val="28"/>
        </w:rPr>
        <w:t>专家组</w:t>
      </w:r>
      <w:r>
        <w:rPr>
          <w:sz w:val="28"/>
          <w:szCs w:val="28"/>
        </w:rPr>
        <w:t>评分制</w:t>
      </w:r>
      <w:r>
        <w:rPr>
          <w:rFonts w:hint="eastAsia"/>
          <w:sz w:val="28"/>
          <w:szCs w:val="28"/>
        </w:rPr>
        <w:t>，满分值为100分，专家打分取平均成绩。学生成绩≥70分且排名前8</w:t>
      </w:r>
      <w:r>
        <w:rPr>
          <w:sz w:val="28"/>
          <w:szCs w:val="28"/>
        </w:rPr>
        <w:t>5</w:t>
      </w:r>
      <w:r>
        <w:rPr>
          <w:rFonts w:hint="eastAsia"/>
          <w:sz w:val="28"/>
          <w:szCs w:val="28"/>
        </w:rPr>
        <w:t>%为通过，60分以下为不通过，其余为暂缓通过。第一次开题审核通过的比例不高于85%。无故不参加开题审核的硕士生作不通过处理。对于第一次开题审核评议暂缓通过者，可在三个月后申请重新开题审核或参加低年级开题审核；第一次开题审核评议不通过者，须参加低年级开题审核。硕士生两次开题审核仍未通过者，予以退学。开题审核通过后，若论文选题有重大修改，则应在规定时间内重新开题。</w:t>
      </w:r>
    </w:p>
    <w:p w14:paraId="186B1903">
      <w:pPr>
        <w:ind w:firstLine="565" w:firstLineChars="202"/>
        <w:rPr>
          <w:sz w:val="28"/>
          <w:szCs w:val="28"/>
        </w:rPr>
      </w:pPr>
      <w:r>
        <w:rPr>
          <w:rFonts w:hint="eastAsia"/>
          <w:sz w:val="28"/>
          <w:szCs w:val="28"/>
        </w:rPr>
        <w:t>（三）考核时间</w:t>
      </w:r>
    </w:p>
    <w:p w14:paraId="5FAB380B">
      <w:pPr>
        <w:ind w:firstLine="565" w:firstLineChars="202"/>
        <w:rPr>
          <w:sz w:val="28"/>
          <w:szCs w:val="28"/>
        </w:rPr>
      </w:pPr>
      <w:r>
        <w:rPr>
          <w:rFonts w:hint="eastAsia"/>
          <w:sz w:val="28"/>
          <w:szCs w:val="28"/>
        </w:rPr>
        <w:t xml:space="preserve"> 硕士研究生开题审核安排在二年级第1个学期内举行。学生需在修满个人培养计划规定的全部课程学分后申请参加开题审核。开题审核和论文答辩时间间隔要求不少于1年。符合提前毕业条件者，可放宽开题与答辩间隔要求。</w:t>
      </w:r>
    </w:p>
    <w:p w14:paraId="4691E16D">
      <w:pPr>
        <w:ind w:firstLine="565" w:firstLineChars="202"/>
        <w:rPr>
          <w:sz w:val="28"/>
          <w:szCs w:val="28"/>
        </w:rPr>
      </w:pPr>
      <w:r>
        <w:rPr>
          <w:rFonts w:hint="eastAsia"/>
          <w:sz w:val="28"/>
          <w:szCs w:val="28"/>
        </w:rPr>
        <w:t>（四）考核方式</w:t>
      </w:r>
    </w:p>
    <w:p w14:paraId="6581EDDC">
      <w:pPr>
        <w:ind w:firstLine="565" w:firstLineChars="202"/>
        <w:rPr>
          <w:sz w:val="28"/>
          <w:szCs w:val="28"/>
        </w:rPr>
      </w:pPr>
      <w:r>
        <w:rPr>
          <w:rFonts w:hint="eastAsia"/>
          <w:sz w:val="28"/>
          <w:szCs w:val="28"/>
        </w:rPr>
        <w:t>以会议方式进行，由各二级学科统一组织专家组对开题材料进行审核，可以分组考核。采取公开答辩、专家评分的方式对硕士生学位论文开题报告进行评议。</w:t>
      </w:r>
    </w:p>
    <w:p w14:paraId="448EF3E7">
      <w:pPr>
        <w:ind w:firstLine="565" w:firstLineChars="202"/>
        <w:rPr>
          <w:sz w:val="28"/>
          <w:szCs w:val="28"/>
        </w:rPr>
      </w:pPr>
      <w:r>
        <w:rPr>
          <w:rFonts w:hint="eastAsia"/>
          <w:sz w:val="28"/>
          <w:szCs w:val="28"/>
        </w:rPr>
        <w:t>（五）考核程序</w:t>
      </w:r>
    </w:p>
    <w:p w14:paraId="3B2FBCBC">
      <w:pPr>
        <w:ind w:firstLine="565" w:firstLineChars="202"/>
        <w:rPr>
          <w:sz w:val="28"/>
          <w:szCs w:val="28"/>
        </w:rPr>
      </w:pPr>
      <w:r>
        <w:rPr>
          <w:rFonts w:hint="eastAsia"/>
          <w:sz w:val="28"/>
          <w:szCs w:val="28"/>
        </w:rPr>
        <w:t>学生填写《中国海洋大学硕士研究生开题审核表》，由专家组审核后给出审核结论。</w:t>
      </w:r>
    </w:p>
    <w:p w14:paraId="31684DA4">
      <w:pPr>
        <w:ind w:firstLine="565" w:firstLineChars="202"/>
        <w:rPr>
          <w:sz w:val="28"/>
          <w:szCs w:val="28"/>
        </w:rPr>
      </w:pPr>
      <w:r>
        <w:rPr>
          <w:rFonts w:hint="eastAsia"/>
          <w:sz w:val="28"/>
          <w:szCs w:val="28"/>
        </w:rPr>
        <w:t>（六）考核人员组成</w:t>
      </w:r>
    </w:p>
    <w:p w14:paraId="09776226">
      <w:pPr>
        <w:ind w:firstLine="565" w:firstLineChars="202"/>
        <w:rPr>
          <w:sz w:val="28"/>
          <w:szCs w:val="28"/>
        </w:rPr>
      </w:pPr>
      <w:r>
        <w:rPr>
          <w:rFonts w:hint="eastAsia"/>
          <w:sz w:val="28"/>
          <w:szCs w:val="28"/>
        </w:rPr>
        <w:t>各二级学科组成考核专家组，专家组需至少由5名专家组成，其中至少包含正高级职称专家2名，</w:t>
      </w:r>
      <w:r>
        <w:rPr>
          <w:sz w:val="28"/>
          <w:szCs w:val="28"/>
        </w:rPr>
        <w:t>导师不作为考核</w:t>
      </w:r>
      <w:r>
        <w:rPr>
          <w:rFonts w:hint="eastAsia"/>
          <w:sz w:val="28"/>
          <w:szCs w:val="28"/>
        </w:rPr>
        <w:t>专家</w:t>
      </w:r>
      <w:r>
        <w:rPr>
          <w:sz w:val="28"/>
          <w:szCs w:val="28"/>
        </w:rPr>
        <w:t>组成员</w:t>
      </w:r>
      <w:r>
        <w:rPr>
          <w:rFonts w:hint="eastAsia"/>
          <w:sz w:val="28"/>
          <w:szCs w:val="28"/>
        </w:rPr>
        <w:t>。</w:t>
      </w:r>
    </w:p>
    <w:p w14:paraId="43FD0FEA">
      <w:pPr>
        <w:ind w:firstLine="565" w:firstLineChars="202"/>
        <w:rPr>
          <w:sz w:val="28"/>
          <w:szCs w:val="28"/>
        </w:rPr>
      </w:pPr>
      <w:r>
        <w:rPr>
          <w:rFonts w:hint="eastAsia"/>
          <w:sz w:val="28"/>
          <w:szCs w:val="28"/>
        </w:rPr>
        <w:t>（七）学生申诉处理委员会组成及申诉、议事规则</w:t>
      </w:r>
    </w:p>
    <w:p w14:paraId="5E58621E">
      <w:pPr>
        <w:ind w:firstLine="565" w:firstLineChars="202"/>
        <w:rPr>
          <w:sz w:val="28"/>
          <w:szCs w:val="28"/>
        </w:rPr>
      </w:pPr>
      <w:r>
        <w:rPr>
          <w:rFonts w:hint="eastAsia"/>
          <w:sz w:val="28"/>
          <w:szCs w:val="28"/>
        </w:rPr>
        <w:t>学生申诉委员会由各二级学科所在学院党委书记、院长、主管研究生工作的副院长、纪检委员、系主任和研究生秘书组成。</w:t>
      </w:r>
    </w:p>
    <w:p w14:paraId="7FB8F821">
      <w:pPr>
        <w:ind w:firstLine="565" w:firstLineChars="202"/>
        <w:rPr>
          <w:sz w:val="28"/>
          <w:szCs w:val="28"/>
        </w:rPr>
      </w:pPr>
      <w:r>
        <w:rPr>
          <w:rFonts w:hint="eastAsia"/>
          <w:sz w:val="28"/>
          <w:szCs w:val="28"/>
        </w:rPr>
        <w:t>学生申诉须提出书面申请，由申诉处理委员会进行审核等，并给出书面审核结论。</w:t>
      </w:r>
    </w:p>
    <w:p w14:paraId="76140504">
      <w:pPr>
        <w:ind w:firstLine="565" w:firstLineChars="202"/>
        <w:rPr>
          <w:sz w:val="28"/>
          <w:szCs w:val="28"/>
        </w:rPr>
      </w:pPr>
    </w:p>
    <w:p w14:paraId="7911748B">
      <w:pPr>
        <w:ind w:firstLine="568" w:firstLineChars="202"/>
        <w:rPr>
          <w:b/>
          <w:sz w:val="28"/>
          <w:szCs w:val="28"/>
        </w:rPr>
      </w:pPr>
      <w:r>
        <w:rPr>
          <w:rFonts w:hint="eastAsia"/>
          <w:b/>
          <w:sz w:val="28"/>
          <w:szCs w:val="28"/>
        </w:rPr>
        <w:t>六、论文研究进展报告</w:t>
      </w:r>
    </w:p>
    <w:p w14:paraId="2DB0EFB5">
      <w:pPr>
        <w:ind w:firstLine="565" w:firstLineChars="202"/>
        <w:rPr>
          <w:sz w:val="28"/>
          <w:szCs w:val="28"/>
        </w:rPr>
      </w:pPr>
      <w:r>
        <w:rPr>
          <w:rFonts w:hint="eastAsia"/>
          <w:sz w:val="28"/>
          <w:szCs w:val="28"/>
        </w:rPr>
        <w:t>（一）考核内容</w:t>
      </w:r>
    </w:p>
    <w:p w14:paraId="77E8CC4A">
      <w:pPr>
        <w:ind w:firstLine="565" w:firstLineChars="202"/>
        <w:rPr>
          <w:sz w:val="28"/>
          <w:szCs w:val="28"/>
        </w:rPr>
      </w:pPr>
      <w:r>
        <w:rPr>
          <w:rFonts w:hint="eastAsia"/>
          <w:sz w:val="28"/>
          <w:szCs w:val="28"/>
        </w:rPr>
        <w:t>论文研究进展报告须详细阐述论文研究工作的进展情况和所取得的阶段性成果，对研究内容、研究方法等进行诊断。导师应对论文研究进展报告做出综合评估，督促研究生顺利开展课题研究和学位论文撰写。</w:t>
      </w:r>
    </w:p>
    <w:p w14:paraId="38F23569">
      <w:pPr>
        <w:ind w:firstLine="565" w:firstLineChars="202"/>
        <w:rPr>
          <w:sz w:val="28"/>
          <w:szCs w:val="28"/>
        </w:rPr>
      </w:pPr>
      <w:r>
        <w:rPr>
          <w:rFonts w:hint="eastAsia"/>
          <w:sz w:val="28"/>
          <w:szCs w:val="28"/>
        </w:rPr>
        <w:t>（二）考核标准</w:t>
      </w:r>
    </w:p>
    <w:p w14:paraId="3EF7C0CE">
      <w:pPr>
        <w:ind w:firstLine="565" w:firstLineChars="202"/>
        <w:rPr>
          <w:sz w:val="28"/>
          <w:szCs w:val="28"/>
        </w:rPr>
      </w:pPr>
      <w:r>
        <w:rPr>
          <w:rFonts w:hint="eastAsia"/>
          <w:sz w:val="28"/>
          <w:szCs w:val="28"/>
        </w:rPr>
        <w:t xml:space="preserve">  分为通过和不通过2种标准。经考核评估，如认为该生不符合培养条件，博士生应退学或转为硕士生、硕士生退学。</w:t>
      </w:r>
    </w:p>
    <w:p w14:paraId="41AC7980">
      <w:pPr>
        <w:ind w:firstLine="565" w:firstLineChars="202"/>
        <w:rPr>
          <w:sz w:val="28"/>
          <w:szCs w:val="28"/>
        </w:rPr>
      </w:pPr>
      <w:r>
        <w:rPr>
          <w:rFonts w:hint="eastAsia"/>
          <w:sz w:val="28"/>
          <w:szCs w:val="28"/>
        </w:rPr>
        <w:t>（三）考核时间</w:t>
      </w:r>
    </w:p>
    <w:p w14:paraId="10BDF51A">
      <w:pPr>
        <w:ind w:firstLine="565" w:firstLineChars="202"/>
        <w:rPr>
          <w:sz w:val="28"/>
          <w:szCs w:val="28"/>
        </w:rPr>
      </w:pPr>
      <w:r>
        <w:rPr>
          <w:rFonts w:hint="eastAsia"/>
          <w:sz w:val="28"/>
          <w:szCs w:val="28"/>
        </w:rPr>
        <w:t xml:space="preserve">硕士研究生在三年级第一学期、博士生在三年级以学术报告形式进行论文研究进展报告。 </w:t>
      </w:r>
    </w:p>
    <w:p w14:paraId="62709280">
      <w:pPr>
        <w:ind w:firstLine="565" w:firstLineChars="202"/>
        <w:rPr>
          <w:sz w:val="28"/>
          <w:szCs w:val="28"/>
        </w:rPr>
      </w:pPr>
      <w:r>
        <w:rPr>
          <w:rFonts w:hint="eastAsia"/>
          <w:sz w:val="28"/>
          <w:szCs w:val="28"/>
        </w:rPr>
        <w:t>（四）考核方式</w:t>
      </w:r>
    </w:p>
    <w:p w14:paraId="13B13136">
      <w:pPr>
        <w:ind w:firstLine="565" w:firstLineChars="202"/>
        <w:rPr>
          <w:sz w:val="28"/>
          <w:szCs w:val="28"/>
        </w:rPr>
      </w:pPr>
      <w:r>
        <w:rPr>
          <w:rFonts w:hint="eastAsia"/>
          <w:sz w:val="28"/>
          <w:szCs w:val="28"/>
        </w:rPr>
        <w:t xml:space="preserve"> 以会议方式进行，研究生汇报论文研究进展报告，专家组给出考核结论。</w:t>
      </w:r>
    </w:p>
    <w:p w14:paraId="0FB9B000">
      <w:pPr>
        <w:ind w:firstLine="565" w:firstLineChars="202"/>
        <w:rPr>
          <w:sz w:val="28"/>
          <w:szCs w:val="28"/>
        </w:rPr>
      </w:pPr>
      <w:r>
        <w:rPr>
          <w:rFonts w:hint="eastAsia"/>
          <w:sz w:val="28"/>
          <w:szCs w:val="28"/>
        </w:rPr>
        <w:t>（五）考核程序</w:t>
      </w:r>
    </w:p>
    <w:p w14:paraId="61A19922">
      <w:pPr>
        <w:ind w:firstLine="565" w:firstLineChars="202"/>
        <w:rPr>
          <w:sz w:val="28"/>
          <w:szCs w:val="28"/>
        </w:rPr>
      </w:pPr>
      <w:r>
        <w:rPr>
          <w:rFonts w:hint="eastAsia"/>
          <w:sz w:val="28"/>
          <w:szCs w:val="28"/>
        </w:rPr>
        <w:t>研究生本人汇报论文研究工作的进展情况和所取得的阶段性成果及本人承诺；导师（组）意见；专家组意见（通过或者不通过）；学院（中心）审批意见。</w:t>
      </w:r>
    </w:p>
    <w:p w14:paraId="0F7CA2D8">
      <w:pPr>
        <w:ind w:firstLine="565" w:firstLineChars="202"/>
        <w:rPr>
          <w:sz w:val="28"/>
          <w:szCs w:val="28"/>
        </w:rPr>
      </w:pPr>
      <w:r>
        <w:rPr>
          <w:rFonts w:hint="eastAsia"/>
          <w:sz w:val="28"/>
          <w:szCs w:val="28"/>
        </w:rPr>
        <w:t>（六）考核人员组成</w:t>
      </w:r>
    </w:p>
    <w:p w14:paraId="3B7FE4C1">
      <w:pPr>
        <w:ind w:firstLine="565" w:firstLineChars="202"/>
        <w:rPr>
          <w:sz w:val="28"/>
          <w:szCs w:val="28"/>
        </w:rPr>
      </w:pPr>
      <w:r>
        <w:rPr>
          <w:rFonts w:hint="eastAsia"/>
          <w:sz w:val="28"/>
          <w:szCs w:val="28"/>
        </w:rPr>
        <w:t>论文</w:t>
      </w:r>
      <w:r>
        <w:rPr>
          <w:sz w:val="28"/>
          <w:szCs w:val="28"/>
        </w:rPr>
        <w:t>研究进展</w:t>
      </w:r>
      <w:r>
        <w:rPr>
          <w:rFonts w:hint="eastAsia"/>
          <w:sz w:val="28"/>
          <w:szCs w:val="28"/>
        </w:rPr>
        <w:t>报告考核人员由至少5名专家组成专家组，其中博士生</w:t>
      </w:r>
      <w:r>
        <w:rPr>
          <w:sz w:val="28"/>
          <w:szCs w:val="28"/>
        </w:rPr>
        <w:t>研究进展</w:t>
      </w:r>
      <w:r>
        <w:rPr>
          <w:rFonts w:hint="eastAsia"/>
          <w:sz w:val="28"/>
          <w:szCs w:val="28"/>
        </w:rPr>
        <w:t>报告考核专家组至少包含博士生导师</w:t>
      </w:r>
      <w:r>
        <w:rPr>
          <w:sz w:val="28"/>
          <w:szCs w:val="28"/>
        </w:rPr>
        <w:t>2</w:t>
      </w:r>
      <w:r>
        <w:rPr>
          <w:rFonts w:hint="eastAsia"/>
          <w:sz w:val="28"/>
          <w:szCs w:val="28"/>
        </w:rPr>
        <w:t>名。</w:t>
      </w:r>
    </w:p>
    <w:p w14:paraId="34778101">
      <w:pPr>
        <w:ind w:firstLine="565" w:firstLineChars="202"/>
        <w:rPr>
          <w:sz w:val="28"/>
          <w:szCs w:val="28"/>
        </w:rPr>
      </w:pPr>
      <w:r>
        <w:rPr>
          <w:rFonts w:hint="eastAsia"/>
          <w:sz w:val="28"/>
          <w:szCs w:val="28"/>
        </w:rPr>
        <w:t>（七）学生申诉处理委员会组成及申诉、议事规则</w:t>
      </w:r>
    </w:p>
    <w:p w14:paraId="679CC260">
      <w:pPr>
        <w:ind w:firstLine="565" w:firstLineChars="202"/>
        <w:rPr>
          <w:sz w:val="28"/>
          <w:szCs w:val="28"/>
        </w:rPr>
      </w:pPr>
      <w:r>
        <w:rPr>
          <w:rFonts w:hint="eastAsia"/>
          <w:sz w:val="28"/>
          <w:szCs w:val="28"/>
        </w:rPr>
        <w:t>学生申诉委员会由各二级学科所在学院党委书记、院长、主管研究生工作的副院长、纪检委员、系主任和研究生秘书组成。</w:t>
      </w:r>
    </w:p>
    <w:p w14:paraId="03D9D3DD">
      <w:pPr>
        <w:ind w:firstLine="565" w:firstLineChars="202"/>
        <w:rPr>
          <w:sz w:val="28"/>
          <w:szCs w:val="28"/>
        </w:rPr>
      </w:pPr>
      <w:r>
        <w:rPr>
          <w:rFonts w:hint="eastAsia"/>
          <w:sz w:val="28"/>
          <w:szCs w:val="28"/>
        </w:rPr>
        <w:t>学生申诉须提出书面申请，由申诉处理委员会聘请专门人员进行审核等，并给出书面审核结论。</w:t>
      </w:r>
    </w:p>
    <w:p w14:paraId="56A189D8">
      <w:pPr>
        <w:ind w:firstLine="565" w:firstLineChars="202"/>
        <w:rPr>
          <w:sz w:val="28"/>
          <w:szCs w:val="28"/>
        </w:rPr>
      </w:pPr>
    </w:p>
    <w:p w14:paraId="0E320507">
      <w:pPr>
        <w:ind w:firstLine="568" w:firstLineChars="202"/>
        <w:rPr>
          <w:b/>
          <w:sz w:val="28"/>
          <w:szCs w:val="28"/>
        </w:rPr>
      </w:pPr>
      <w:r>
        <w:rPr>
          <w:rFonts w:hint="eastAsia"/>
          <w:b/>
          <w:sz w:val="28"/>
          <w:szCs w:val="28"/>
        </w:rPr>
        <w:t>七、学位论文预答辩（博士生）</w:t>
      </w:r>
    </w:p>
    <w:p w14:paraId="2FF7A40D">
      <w:pPr>
        <w:ind w:firstLine="565" w:firstLineChars="202"/>
        <w:rPr>
          <w:sz w:val="28"/>
          <w:szCs w:val="28"/>
        </w:rPr>
      </w:pPr>
      <w:r>
        <w:rPr>
          <w:rFonts w:hint="eastAsia"/>
          <w:sz w:val="28"/>
          <w:szCs w:val="28"/>
        </w:rPr>
        <w:t>（一）考核内容</w:t>
      </w:r>
    </w:p>
    <w:p w14:paraId="4A5D5DA4">
      <w:pPr>
        <w:ind w:firstLine="565" w:firstLineChars="202"/>
        <w:rPr>
          <w:sz w:val="28"/>
          <w:szCs w:val="28"/>
        </w:rPr>
      </w:pPr>
      <w:r>
        <w:rPr>
          <w:rFonts w:hint="eastAsia"/>
          <w:sz w:val="28"/>
          <w:szCs w:val="28"/>
        </w:rPr>
        <w:t>国内外研究现状分析，技术路线，研究过程及内容，研究结论，论文创新点，论文写作规范等。</w:t>
      </w:r>
    </w:p>
    <w:p w14:paraId="7ADE2B06">
      <w:pPr>
        <w:ind w:firstLine="565" w:firstLineChars="202"/>
        <w:rPr>
          <w:sz w:val="28"/>
          <w:szCs w:val="28"/>
        </w:rPr>
      </w:pPr>
      <w:r>
        <w:rPr>
          <w:rFonts w:hint="eastAsia"/>
          <w:sz w:val="28"/>
          <w:szCs w:val="28"/>
        </w:rPr>
        <w:t>（二）考核标准</w:t>
      </w:r>
    </w:p>
    <w:p w14:paraId="38258C34">
      <w:pPr>
        <w:ind w:firstLine="565" w:firstLineChars="202"/>
        <w:rPr>
          <w:color w:val="auto"/>
          <w:sz w:val="28"/>
          <w:szCs w:val="28"/>
        </w:rPr>
      </w:pPr>
      <w:r>
        <w:rPr>
          <w:rFonts w:hint="eastAsia"/>
          <w:sz w:val="28"/>
          <w:szCs w:val="28"/>
        </w:rPr>
        <w:t>分为通过和暂缓通过2种标准。预答辩应重点就研究的充分性、创新性以及学位论文写作的规范性等方面进行评估和把关，需进行重大或较多修改</w:t>
      </w:r>
      <w:r>
        <w:rPr>
          <w:rFonts w:hint="eastAsia"/>
          <w:color w:val="auto"/>
          <w:sz w:val="28"/>
          <w:szCs w:val="28"/>
        </w:rPr>
        <w:t>的，须再次预答辩。第一次预答辩通过比例不高于80%，预答辩未通过者可在1</w:t>
      </w:r>
      <w:r>
        <w:rPr>
          <w:color w:val="auto"/>
          <w:sz w:val="28"/>
          <w:szCs w:val="28"/>
        </w:rPr>
        <w:t>-2</w:t>
      </w:r>
      <w:r>
        <w:rPr>
          <w:rFonts w:hint="eastAsia"/>
          <w:color w:val="auto"/>
          <w:sz w:val="28"/>
          <w:szCs w:val="28"/>
        </w:rPr>
        <w:t>月内重新组织预答辩。</w:t>
      </w:r>
    </w:p>
    <w:p w14:paraId="138066A8">
      <w:pPr>
        <w:ind w:firstLine="565" w:firstLineChars="202"/>
        <w:rPr>
          <w:sz w:val="28"/>
          <w:szCs w:val="28"/>
        </w:rPr>
      </w:pPr>
      <w:r>
        <w:rPr>
          <w:rFonts w:hint="eastAsia"/>
          <w:sz w:val="28"/>
          <w:szCs w:val="28"/>
        </w:rPr>
        <w:t>（三）考核时间</w:t>
      </w:r>
    </w:p>
    <w:p w14:paraId="3FEF049C">
      <w:pPr>
        <w:ind w:firstLine="565" w:firstLineChars="202"/>
        <w:rPr>
          <w:sz w:val="28"/>
          <w:szCs w:val="28"/>
        </w:rPr>
      </w:pPr>
      <w:r>
        <w:rPr>
          <w:rFonts w:hint="eastAsia"/>
          <w:sz w:val="28"/>
          <w:szCs w:val="28"/>
        </w:rPr>
        <w:t>预答辩由导师（组）负责安排。</w:t>
      </w:r>
    </w:p>
    <w:p w14:paraId="4F90BCBF">
      <w:pPr>
        <w:ind w:firstLine="565" w:firstLineChars="202"/>
        <w:rPr>
          <w:sz w:val="28"/>
          <w:szCs w:val="28"/>
        </w:rPr>
      </w:pPr>
      <w:r>
        <w:rPr>
          <w:rFonts w:hint="eastAsia"/>
          <w:sz w:val="28"/>
          <w:szCs w:val="28"/>
        </w:rPr>
        <w:t>第一次预答辩时间与校学位评定委员会召开时间间隔原则上不少于6个月。</w:t>
      </w:r>
    </w:p>
    <w:p w14:paraId="7EA5D0B0">
      <w:pPr>
        <w:ind w:firstLine="565" w:firstLineChars="202"/>
        <w:rPr>
          <w:sz w:val="28"/>
          <w:szCs w:val="28"/>
        </w:rPr>
      </w:pPr>
      <w:r>
        <w:rPr>
          <w:rFonts w:hint="eastAsia"/>
          <w:sz w:val="28"/>
          <w:szCs w:val="28"/>
        </w:rPr>
        <w:t>（四）考核方式</w:t>
      </w:r>
    </w:p>
    <w:p w14:paraId="3A43DFF5">
      <w:pPr>
        <w:ind w:firstLine="565" w:firstLineChars="202"/>
        <w:rPr>
          <w:sz w:val="28"/>
          <w:szCs w:val="28"/>
        </w:rPr>
      </w:pPr>
      <w:r>
        <w:rPr>
          <w:rFonts w:hint="eastAsia"/>
          <w:sz w:val="28"/>
          <w:szCs w:val="28"/>
        </w:rPr>
        <w:t>以会议方式进行，研究生汇报论文研究内容，专家组给出考核结论。</w:t>
      </w:r>
    </w:p>
    <w:p w14:paraId="58F382C2">
      <w:pPr>
        <w:ind w:firstLine="565" w:firstLineChars="202"/>
        <w:rPr>
          <w:sz w:val="28"/>
          <w:szCs w:val="28"/>
        </w:rPr>
      </w:pPr>
      <w:r>
        <w:rPr>
          <w:rFonts w:hint="eastAsia"/>
          <w:sz w:val="28"/>
          <w:szCs w:val="28"/>
        </w:rPr>
        <w:t>（五）考核程序</w:t>
      </w:r>
    </w:p>
    <w:p w14:paraId="10EC34A1">
      <w:pPr>
        <w:ind w:firstLine="565" w:firstLineChars="202"/>
        <w:rPr>
          <w:sz w:val="28"/>
          <w:szCs w:val="28"/>
        </w:rPr>
      </w:pPr>
      <w:r>
        <w:rPr>
          <w:rFonts w:hint="eastAsia"/>
          <w:sz w:val="28"/>
          <w:szCs w:val="28"/>
        </w:rPr>
        <w:t>研究生汇报论文研究工作内容及本人承诺；专家组评审意见及评审结论；学生填写论文修改措施；导师（组）意见；学院（中心）审批意见。</w:t>
      </w:r>
    </w:p>
    <w:p w14:paraId="50ABCA65">
      <w:pPr>
        <w:ind w:firstLine="565" w:firstLineChars="202"/>
        <w:rPr>
          <w:sz w:val="28"/>
          <w:szCs w:val="28"/>
        </w:rPr>
      </w:pPr>
      <w:r>
        <w:rPr>
          <w:rFonts w:hint="eastAsia"/>
          <w:sz w:val="28"/>
          <w:szCs w:val="28"/>
        </w:rPr>
        <w:t>（六）考核人员组成</w:t>
      </w:r>
    </w:p>
    <w:p w14:paraId="69807096">
      <w:pPr>
        <w:ind w:firstLine="565" w:firstLineChars="202"/>
        <w:rPr>
          <w:sz w:val="28"/>
          <w:szCs w:val="28"/>
        </w:rPr>
      </w:pPr>
      <w:r>
        <w:rPr>
          <w:rFonts w:hint="eastAsia"/>
          <w:sz w:val="28"/>
          <w:szCs w:val="28"/>
        </w:rPr>
        <w:t>由至少5名专家组成专家组，其中至少包含博士生导师2名以上，导师</w:t>
      </w:r>
      <w:r>
        <w:rPr>
          <w:sz w:val="28"/>
          <w:szCs w:val="28"/>
        </w:rPr>
        <w:t>不</w:t>
      </w:r>
      <w:r>
        <w:rPr>
          <w:rFonts w:hint="eastAsia"/>
          <w:sz w:val="28"/>
          <w:szCs w:val="28"/>
        </w:rPr>
        <w:t>作为</w:t>
      </w:r>
      <w:r>
        <w:rPr>
          <w:sz w:val="28"/>
          <w:szCs w:val="28"/>
        </w:rPr>
        <w:t>考核</w:t>
      </w:r>
      <w:r>
        <w:rPr>
          <w:rFonts w:hint="eastAsia"/>
          <w:sz w:val="28"/>
          <w:szCs w:val="28"/>
        </w:rPr>
        <w:t>专家组</w:t>
      </w:r>
      <w:r>
        <w:rPr>
          <w:sz w:val="28"/>
          <w:szCs w:val="28"/>
        </w:rPr>
        <w:t>成员</w:t>
      </w:r>
      <w:r>
        <w:rPr>
          <w:rFonts w:hint="eastAsia"/>
          <w:sz w:val="28"/>
          <w:szCs w:val="28"/>
        </w:rPr>
        <w:t>。</w:t>
      </w:r>
    </w:p>
    <w:p w14:paraId="7F6C19E8">
      <w:pPr>
        <w:ind w:firstLine="565" w:firstLineChars="202"/>
        <w:rPr>
          <w:sz w:val="28"/>
          <w:szCs w:val="28"/>
        </w:rPr>
      </w:pPr>
      <w:r>
        <w:rPr>
          <w:rFonts w:hint="eastAsia"/>
          <w:sz w:val="28"/>
          <w:szCs w:val="28"/>
        </w:rPr>
        <w:t>（七）学生申诉处理委员会组成及申诉、议事规则</w:t>
      </w:r>
    </w:p>
    <w:p w14:paraId="712ADD4D">
      <w:pPr>
        <w:ind w:firstLine="565" w:firstLineChars="202"/>
        <w:rPr>
          <w:sz w:val="28"/>
          <w:szCs w:val="28"/>
        </w:rPr>
      </w:pPr>
      <w:r>
        <w:rPr>
          <w:rFonts w:hint="eastAsia"/>
          <w:sz w:val="28"/>
          <w:szCs w:val="28"/>
        </w:rPr>
        <w:t>学生申诉委员会由各二级学科所在学院党委书记、院长、主管研究生工作的副院长、纪检委员、系主任和研究生秘书组成。</w:t>
      </w:r>
    </w:p>
    <w:p w14:paraId="1478D547">
      <w:pPr>
        <w:ind w:firstLine="565" w:firstLineChars="202"/>
        <w:rPr>
          <w:sz w:val="28"/>
          <w:szCs w:val="28"/>
        </w:rPr>
      </w:pPr>
      <w:r>
        <w:rPr>
          <w:rFonts w:hint="eastAsia"/>
          <w:sz w:val="28"/>
          <w:szCs w:val="28"/>
        </w:rPr>
        <w:t>学生申诉须提出书面申请，由申诉处理委员会聘请专门人员进行审核等，并给出书面审核结论。</w:t>
      </w:r>
    </w:p>
    <w:p w14:paraId="7A9AB378">
      <w:pPr>
        <w:ind w:firstLine="565" w:firstLineChars="202"/>
        <w:rPr>
          <w:sz w:val="28"/>
          <w:szCs w:val="28"/>
        </w:rPr>
      </w:pPr>
    </w:p>
    <w:p w14:paraId="1BE40905">
      <w:pPr>
        <w:ind w:firstLine="568" w:firstLineChars="202"/>
        <w:rPr>
          <w:b/>
          <w:sz w:val="28"/>
          <w:szCs w:val="28"/>
        </w:rPr>
      </w:pPr>
      <w:r>
        <w:rPr>
          <w:rFonts w:hint="eastAsia"/>
          <w:b/>
          <w:sz w:val="28"/>
          <w:szCs w:val="28"/>
        </w:rPr>
        <w:t>八、学位论文答辩</w:t>
      </w:r>
    </w:p>
    <w:p w14:paraId="163AB333">
      <w:pPr>
        <w:ind w:firstLine="565" w:firstLineChars="202"/>
        <w:rPr>
          <w:sz w:val="28"/>
          <w:szCs w:val="28"/>
        </w:rPr>
      </w:pPr>
      <w:r>
        <w:rPr>
          <w:rFonts w:hint="eastAsia"/>
          <w:sz w:val="28"/>
          <w:szCs w:val="28"/>
        </w:rPr>
        <w:t>（一）</w:t>
      </w:r>
      <w:r>
        <w:rPr>
          <w:rFonts w:hint="eastAsia"/>
          <w:sz w:val="28"/>
          <w:szCs w:val="28"/>
        </w:rPr>
        <w:tab/>
      </w:r>
      <w:r>
        <w:rPr>
          <w:rFonts w:hint="eastAsia"/>
          <w:sz w:val="28"/>
          <w:szCs w:val="28"/>
        </w:rPr>
        <w:t>考核内容</w:t>
      </w:r>
    </w:p>
    <w:p w14:paraId="64F96FB6">
      <w:pPr>
        <w:ind w:firstLine="565" w:firstLineChars="202"/>
        <w:rPr>
          <w:sz w:val="28"/>
          <w:szCs w:val="28"/>
        </w:rPr>
      </w:pPr>
      <w:r>
        <w:rPr>
          <w:rFonts w:hint="eastAsia"/>
          <w:sz w:val="28"/>
          <w:szCs w:val="28"/>
        </w:rPr>
        <w:t>国内外研究现状分析，技术路线，研究过程及内容，研究结论，论文创新点，论文写作规范等。</w:t>
      </w:r>
    </w:p>
    <w:p w14:paraId="503F7E32">
      <w:pPr>
        <w:ind w:firstLine="565" w:firstLineChars="202"/>
        <w:rPr>
          <w:sz w:val="28"/>
          <w:szCs w:val="28"/>
        </w:rPr>
      </w:pPr>
      <w:r>
        <w:rPr>
          <w:rFonts w:hint="eastAsia"/>
          <w:sz w:val="28"/>
          <w:szCs w:val="28"/>
        </w:rPr>
        <w:t>（二）</w:t>
      </w:r>
      <w:r>
        <w:rPr>
          <w:rFonts w:hint="eastAsia"/>
          <w:sz w:val="28"/>
          <w:szCs w:val="28"/>
        </w:rPr>
        <w:tab/>
      </w:r>
      <w:r>
        <w:rPr>
          <w:rFonts w:hint="eastAsia"/>
          <w:sz w:val="28"/>
          <w:szCs w:val="28"/>
        </w:rPr>
        <w:t>考核标准</w:t>
      </w:r>
    </w:p>
    <w:p w14:paraId="2ED91F47">
      <w:pPr>
        <w:ind w:firstLine="565" w:firstLineChars="202"/>
        <w:rPr>
          <w:sz w:val="28"/>
          <w:szCs w:val="28"/>
        </w:rPr>
      </w:pPr>
      <w:r>
        <w:rPr>
          <w:rFonts w:hint="eastAsia"/>
          <w:sz w:val="28"/>
          <w:szCs w:val="28"/>
        </w:rPr>
        <w:t>是否同意通过论文答辩；是否同意建议授予硕士/博士学位。</w:t>
      </w:r>
    </w:p>
    <w:p w14:paraId="5A91BBD6">
      <w:pPr>
        <w:ind w:firstLine="565" w:firstLineChars="202"/>
        <w:rPr>
          <w:sz w:val="28"/>
          <w:szCs w:val="28"/>
        </w:rPr>
      </w:pPr>
      <w:r>
        <w:rPr>
          <w:rFonts w:hint="eastAsia"/>
          <w:sz w:val="28"/>
          <w:szCs w:val="28"/>
        </w:rPr>
        <w:t>（三）</w:t>
      </w:r>
      <w:r>
        <w:rPr>
          <w:rFonts w:hint="eastAsia"/>
          <w:sz w:val="28"/>
          <w:szCs w:val="28"/>
        </w:rPr>
        <w:tab/>
      </w:r>
      <w:r>
        <w:rPr>
          <w:rFonts w:hint="eastAsia"/>
          <w:sz w:val="28"/>
          <w:szCs w:val="28"/>
        </w:rPr>
        <w:t>考核时间</w:t>
      </w:r>
    </w:p>
    <w:p w14:paraId="23DFE0CD">
      <w:pPr>
        <w:ind w:firstLine="565" w:firstLineChars="202"/>
        <w:rPr>
          <w:sz w:val="28"/>
          <w:szCs w:val="28"/>
        </w:rPr>
      </w:pPr>
      <w:r>
        <w:rPr>
          <w:rFonts w:hint="eastAsia"/>
          <w:sz w:val="28"/>
          <w:szCs w:val="28"/>
        </w:rPr>
        <w:t>原则上在校学位评定委员会召开前1-2个月内公开举行。</w:t>
      </w:r>
    </w:p>
    <w:p w14:paraId="5EBFED11">
      <w:pPr>
        <w:ind w:firstLine="565" w:firstLineChars="202"/>
        <w:rPr>
          <w:sz w:val="28"/>
          <w:szCs w:val="28"/>
        </w:rPr>
      </w:pPr>
      <w:r>
        <w:rPr>
          <w:rFonts w:hint="eastAsia"/>
          <w:sz w:val="28"/>
          <w:szCs w:val="28"/>
        </w:rPr>
        <w:t>（四）</w:t>
      </w:r>
      <w:r>
        <w:rPr>
          <w:rFonts w:hint="eastAsia"/>
          <w:sz w:val="28"/>
          <w:szCs w:val="28"/>
        </w:rPr>
        <w:tab/>
      </w:r>
      <w:r>
        <w:rPr>
          <w:rFonts w:hint="eastAsia"/>
          <w:sz w:val="28"/>
          <w:szCs w:val="28"/>
        </w:rPr>
        <w:t>考核方式</w:t>
      </w:r>
    </w:p>
    <w:p w14:paraId="03F681CB">
      <w:pPr>
        <w:ind w:firstLine="565" w:firstLineChars="202"/>
        <w:rPr>
          <w:sz w:val="28"/>
          <w:szCs w:val="28"/>
        </w:rPr>
      </w:pPr>
      <w:r>
        <w:rPr>
          <w:rFonts w:hint="eastAsia"/>
          <w:sz w:val="28"/>
          <w:szCs w:val="28"/>
        </w:rPr>
        <w:t>学位论文答辩采用现场考核形式进行，研究生向答辩委员会专家汇报学位论文情况，答辩小组成员对学位论文进行质疑，对论文的创新性、学术水平、研究成果、写作规范性等进行评议。</w:t>
      </w:r>
    </w:p>
    <w:p w14:paraId="22DDE958">
      <w:pPr>
        <w:ind w:firstLine="565" w:firstLineChars="202"/>
        <w:rPr>
          <w:sz w:val="28"/>
          <w:szCs w:val="28"/>
        </w:rPr>
      </w:pPr>
      <w:r>
        <w:rPr>
          <w:rFonts w:hint="eastAsia"/>
          <w:sz w:val="28"/>
          <w:szCs w:val="28"/>
        </w:rPr>
        <w:t>（五）</w:t>
      </w:r>
      <w:r>
        <w:rPr>
          <w:rFonts w:hint="eastAsia"/>
          <w:sz w:val="28"/>
          <w:szCs w:val="28"/>
        </w:rPr>
        <w:tab/>
      </w:r>
      <w:r>
        <w:rPr>
          <w:rFonts w:hint="eastAsia"/>
          <w:sz w:val="28"/>
          <w:szCs w:val="28"/>
        </w:rPr>
        <w:t>考核程序</w:t>
      </w:r>
    </w:p>
    <w:p w14:paraId="364D88F8">
      <w:pPr>
        <w:ind w:firstLine="565" w:firstLineChars="202"/>
        <w:rPr>
          <w:sz w:val="28"/>
          <w:szCs w:val="28"/>
        </w:rPr>
      </w:pPr>
      <w:r>
        <w:rPr>
          <w:rFonts w:hint="eastAsia"/>
          <w:sz w:val="28"/>
          <w:szCs w:val="28"/>
        </w:rPr>
        <w:t>1.答辩委员会主席宣布开始，宣读答辩委员会成员名单、申请人姓名、学位论文题目等；</w:t>
      </w:r>
    </w:p>
    <w:p w14:paraId="578C6E2E">
      <w:pPr>
        <w:ind w:firstLine="565" w:firstLineChars="202"/>
        <w:rPr>
          <w:sz w:val="28"/>
          <w:szCs w:val="28"/>
        </w:rPr>
      </w:pPr>
      <w:r>
        <w:rPr>
          <w:rFonts w:hint="eastAsia"/>
          <w:sz w:val="28"/>
          <w:szCs w:val="28"/>
        </w:rPr>
        <w:t>2.指导教师简要介绍研究生的课程学习成绩、开题报告情况、从事科研工作情况等；</w:t>
      </w:r>
    </w:p>
    <w:p w14:paraId="416BBD9E">
      <w:pPr>
        <w:ind w:firstLine="565" w:firstLineChars="202"/>
        <w:rPr>
          <w:sz w:val="28"/>
          <w:szCs w:val="28"/>
        </w:rPr>
      </w:pPr>
      <w:r>
        <w:rPr>
          <w:rFonts w:hint="eastAsia"/>
          <w:sz w:val="28"/>
          <w:szCs w:val="28"/>
        </w:rPr>
        <w:t>3.研究生报告论文的主要内容；</w:t>
      </w:r>
    </w:p>
    <w:p w14:paraId="5D56273F">
      <w:pPr>
        <w:ind w:firstLine="565" w:firstLineChars="202"/>
        <w:rPr>
          <w:sz w:val="28"/>
          <w:szCs w:val="28"/>
        </w:rPr>
      </w:pPr>
      <w:r>
        <w:rPr>
          <w:rFonts w:hint="eastAsia"/>
          <w:sz w:val="28"/>
          <w:szCs w:val="28"/>
        </w:rPr>
        <w:t>4.与会者提问，进行论文答辩；</w:t>
      </w:r>
    </w:p>
    <w:p w14:paraId="4D2C755A">
      <w:pPr>
        <w:ind w:firstLine="565" w:firstLineChars="202"/>
        <w:rPr>
          <w:sz w:val="28"/>
          <w:szCs w:val="28"/>
        </w:rPr>
      </w:pPr>
      <w:r>
        <w:rPr>
          <w:rFonts w:hint="eastAsia"/>
          <w:sz w:val="28"/>
          <w:szCs w:val="28"/>
        </w:rPr>
        <w:t>5.休会：研究生、列席旁听人员退场，答辩委员会举行会议，答辩秘书宣读论文评阅人的学术评语，委员就学位论文及答辩情况交换意见，以无记名投票方式就论文是否通过、是否同意授予学位进行表决，并作出书面决议，填写《中国海洋大学学位论文答辩会议记录和表决票》；</w:t>
      </w:r>
    </w:p>
    <w:p w14:paraId="3D9ED2E4">
      <w:pPr>
        <w:ind w:firstLine="565" w:firstLineChars="202"/>
        <w:rPr>
          <w:sz w:val="28"/>
          <w:szCs w:val="28"/>
        </w:rPr>
      </w:pPr>
      <w:r>
        <w:rPr>
          <w:rFonts w:hint="eastAsia"/>
          <w:sz w:val="28"/>
          <w:szCs w:val="28"/>
        </w:rPr>
        <w:t>6.复会：指导教师和研究生返回会场，答辩委员会主席宣布对学位论文的学术评语及决议。</w:t>
      </w:r>
    </w:p>
    <w:p w14:paraId="110D3C76">
      <w:pPr>
        <w:ind w:firstLine="565" w:firstLineChars="202"/>
        <w:rPr>
          <w:sz w:val="28"/>
          <w:szCs w:val="28"/>
        </w:rPr>
      </w:pPr>
      <w:r>
        <w:rPr>
          <w:rFonts w:hint="eastAsia"/>
          <w:sz w:val="28"/>
          <w:szCs w:val="28"/>
        </w:rPr>
        <w:t>学位论文需要全体答辩委员的三分之二以上（含三分之二）同意方为通过。答辩委员会决议、会议记录需要经过主席审阅签字。</w:t>
      </w:r>
    </w:p>
    <w:p w14:paraId="43D54738">
      <w:pPr>
        <w:ind w:firstLine="565" w:firstLineChars="202"/>
        <w:rPr>
          <w:sz w:val="28"/>
          <w:szCs w:val="28"/>
        </w:rPr>
      </w:pPr>
      <w:r>
        <w:rPr>
          <w:rFonts w:hint="eastAsia"/>
          <w:sz w:val="28"/>
          <w:szCs w:val="28"/>
        </w:rPr>
        <w:t>（六）</w:t>
      </w:r>
      <w:r>
        <w:rPr>
          <w:rFonts w:hint="eastAsia"/>
          <w:sz w:val="28"/>
          <w:szCs w:val="28"/>
        </w:rPr>
        <w:tab/>
      </w:r>
      <w:r>
        <w:rPr>
          <w:rFonts w:hint="eastAsia"/>
          <w:sz w:val="28"/>
          <w:szCs w:val="28"/>
        </w:rPr>
        <w:t>考核人员组成</w:t>
      </w:r>
    </w:p>
    <w:p w14:paraId="681A0CB4">
      <w:pPr>
        <w:ind w:firstLine="565" w:firstLineChars="202"/>
        <w:rPr>
          <w:sz w:val="28"/>
          <w:szCs w:val="28"/>
        </w:rPr>
      </w:pPr>
      <w:r>
        <w:rPr>
          <w:rFonts w:hint="eastAsia"/>
          <w:sz w:val="28"/>
          <w:szCs w:val="28"/>
        </w:rPr>
        <w:t>博士学位论文答辩委员会由7名或9 名、熟悉本领域研究前沿的教授（或相当职称）或博士生指导教师组成，其中博导不少于3人，校外专家不少于3人，组成人员须经学院（中心）学位评定分委员会审议、校学位评定委员会办公室审核；硕士学位论文答辩委员会一般由5或7 名名副教授（或相当职称）及以上或研究生指导教师组成，其中校外专家不少于2人，组成人员须经学院（中心）学位评定分委员会审核。未经审核，不得进行论文答辩。指导教师可列席答辩，但不作为答辩委员会成员，且在讨论表决、形成决议时应离席回避。答辩委员会秘书负责会议记录，工作人员负责录像等。</w:t>
      </w:r>
    </w:p>
    <w:p w14:paraId="4A663BAB">
      <w:pPr>
        <w:ind w:firstLine="565" w:firstLineChars="202"/>
        <w:rPr>
          <w:sz w:val="28"/>
          <w:szCs w:val="28"/>
        </w:rPr>
      </w:pPr>
      <w:r>
        <w:rPr>
          <w:rFonts w:hint="eastAsia"/>
          <w:sz w:val="28"/>
          <w:szCs w:val="28"/>
        </w:rPr>
        <w:t>（七）学生申诉处理委员会组成及申诉、议事规则</w:t>
      </w:r>
    </w:p>
    <w:p w14:paraId="4F0BE6A3">
      <w:pPr>
        <w:ind w:firstLine="565" w:firstLineChars="202"/>
        <w:rPr>
          <w:sz w:val="28"/>
          <w:szCs w:val="28"/>
        </w:rPr>
      </w:pPr>
      <w:r>
        <w:rPr>
          <w:rFonts w:hint="eastAsia"/>
          <w:sz w:val="28"/>
          <w:szCs w:val="28"/>
        </w:rPr>
        <w:t>学生申诉委员会由各二级学科所在学院党委书记、院长、主管研究生工作的副院长、纪检委员、系主任和研究生秘书组成。</w:t>
      </w:r>
    </w:p>
    <w:p w14:paraId="6CD617B3">
      <w:pPr>
        <w:ind w:firstLine="565" w:firstLineChars="202"/>
        <w:rPr>
          <w:sz w:val="28"/>
          <w:szCs w:val="28"/>
        </w:rPr>
      </w:pPr>
      <w:r>
        <w:rPr>
          <w:rFonts w:hint="eastAsia"/>
          <w:sz w:val="28"/>
          <w:szCs w:val="28"/>
        </w:rPr>
        <w:t>学生申诉须提出书面申请，由申诉处理委员会聘请专门人员进行审核等，并给出书面审核结论。</w:t>
      </w:r>
      <w:bookmarkStart w:id="0" w:name="_GoBack"/>
      <w:bookmarkEnd w:id="0"/>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6193100"/>
    </w:sdtPr>
    <w:sdtContent>
      <w:p w14:paraId="101DC7B1">
        <w:pPr>
          <w:pStyle w:val="4"/>
          <w:jc w:val="center"/>
        </w:pPr>
        <w:r>
          <w:fldChar w:fldCharType="begin"/>
        </w:r>
        <w:r>
          <w:instrText xml:space="preserve"> PAGE   \* MERGEFORMAT </w:instrText>
        </w:r>
        <w:r>
          <w:fldChar w:fldCharType="separate"/>
        </w:r>
        <w:r>
          <w:rPr>
            <w:lang w:val="zh-CN"/>
          </w:rPr>
          <w:t>7</w:t>
        </w:r>
        <w:r>
          <w:rPr>
            <w:lang w:val="zh-CN"/>
          </w:rPr>
          <w:fldChar w:fldCharType="end"/>
        </w:r>
      </w:p>
    </w:sdtContent>
  </w:sdt>
  <w:p w14:paraId="61829509">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EwNDJlN2NlOTAyNmMwYTA4OTk1MGQwNTYyOWY0ZTgifQ=="/>
  </w:docVars>
  <w:rsids>
    <w:rsidRoot w:val="6BEC51E6"/>
    <w:rsid w:val="000011FA"/>
    <w:rsid w:val="00023B36"/>
    <w:rsid w:val="0003439B"/>
    <w:rsid w:val="00046034"/>
    <w:rsid w:val="000477CA"/>
    <w:rsid w:val="00047DEA"/>
    <w:rsid w:val="00047E05"/>
    <w:rsid w:val="00063356"/>
    <w:rsid w:val="000662A7"/>
    <w:rsid w:val="00067E11"/>
    <w:rsid w:val="000748BA"/>
    <w:rsid w:val="000908D1"/>
    <w:rsid w:val="00090A98"/>
    <w:rsid w:val="00092D8C"/>
    <w:rsid w:val="000B118E"/>
    <w:rsid w:val="000C1139"/>
    <w:rsid w:val="000C22FD"/>
    <w:rsid w:val="000C4EB5"/>
    <w:rsid w:val="000D4B19"/>
    <w:rsid w:val="000F6B93"/>
    <w:rsid w:val="00114D88"/>
    <w:rsid w:val="0014310C"/>
    <w:rsid w:val="001519DE"/>
    <w:rsid w:val="00155CC6"/>
    <w:rsid w:val="0016167A"/>
    <w:rsid w:val="00162403"/>
    <w:rsid w:val="001735B3"/>
    <w:rsid w:val="00177480"/>
    <w:rsid w:val="001835F5"/>
    <w:rsid w:val="00183FB8"/>
    <w:rsid w:val="0018744E"/>
    <w:rsid w:val="00192628"/>
    <w:rsid w:val="001A623F"/>
    <w:rsid w:val="001A75FA"/>
    <w:rsid w:val="001B2BC3"/>
    <w:rsid w:val="001B58F7"/>
    <w:rsid w:val="001B65DB"/>
    <w:rsid w:val="001C575F"/>
    <w:rsid w:val="001C67B5"/>
    <w:rsid w:val="001C7446"/>
    <w:rsid w:val="001D0440"/>
    <w:rsid w:val="001D40B9"/>
    <w:rsid w:val="001E0D50"/>
    <w:rsid w:val="002120D9"/>
    <w:rsid w:val="0022196B"/>
    <w:rsid w:val="00222FCE"/>
    <w:rsid w:val="00223B48"/>
    <w:rsid w:val="00223F1F"/>
    <w:rsid w:val="00231193"/>
    <w:rsid w:val="00233723"/>
    <w:rsid w:val="00234492"/>
    <w:rsid w:val="00237BF4"/>
    <w:rsid w:val="00242EE1"/>
    <w:rsid w:val="0025104D"/>
    <w:rsid w:val="00251804"/>
    <w:rsid w:val="00273493"/>
    <w:rsid w:val="00275C0D"/>
    <w:rsid w:val="00296154"/>
    <w:rsid w:val="002A6187"/>
    <w:rsid w:val="002C2342"/>
    <w:rsid w:val="002D376A"/>
    <w:rsid w:val="002E42BE"/>
    <w:rsid w:val="003061FB"/>
    <w:rsid w:val="00306DA2"/>
    <w:rsid w:val="003119C1"/>
    <w:rsid w:val="00315023"/>
    <w:rsid w:val="00316B7F"/>
    <w:rsid w:val="00334AB5"/>
    <w:rsid w:val="00341A59"/>
    <w:rsid w:val="00342741"/>
    <w:rsid w:val="00342FC7"/>
    <w:rsid w:val="0034327F"/>
    <w:rsid w:val="0035198F"/>
    <w:rsid w:val="00352588"/>
    <w:rsid w:val="00356962"/>
    <w:rsid w:val="00365454"/>
    <w:rsid w:val="00367A8C"/>
    <w:rsid w:val="00372BAA"/>
    <w:rsid w:val="003A6C1A"/>
    <w:rsid w:val="003B3DBC"/>
    <w:rsid w:val="003B5494"/>
    <w:rsid w:val="003C4501"/>
    <w:rsid w:val="003C4892"/>
    <w:rsid w:val="003D3108"/>
    <w:rsid w:val="003D6E77"/>
    <w:rsid w:val="0040212F"/>
    <w:rsid w:val="00407453"/>
    <w:rsid w:val="00415E71"/>
    <w:rsid w:val="00417C88"/>
    <w:rsid w:val="0042245A"/>
    <w:rsid w:val="00444BC1"/>
    <w:rsid w:val="004A4041"/>
    <w:rsid w:val="004B31EF"/>
    <w:rsid w:val="004B3FF9"/>
    <w:rsid w:val="004C0FB8"/>
    <w:rsid w:val="004C272D"/>
    <w:rsid w:val="004E060D"/>
    <w:rsid w:val="004E18B3"/>
    <w:rsid w:val="004E2B85"/>
    <w:rsid w:val="00500167"/>
    <w:rsid w:val="00500AFE"/>
    <w:rsid w:val="0050204F"/>
    <w:rsid w:val="00506CED"/>
    <w:rsid w:val="0052060A"/>
    <w:rsid w:val="005215FE"/>
    <w:rsid w:val="00521D1C"/>
    <w:rsid w:val="00542D11"/>
    <w:rsid w:val="0055798B"/>
    <w:rsid w:val="005609D2"/>
    <w:rsid w:val="00560D6C"/>
    <w:rsid w:val="0056320D"/>
    <w:rsid w:val="00567EB7"/>
    <w:rsid w:val="00594651"/>
    <w:rsid w:val="005D15EA"/>
    <w:rsid w:val="005D15FE"/>
    <w:rsid w:val="005D6A79"/>
    <w:rsid w:val="005E3716"/>
    <w:rsid w:val="00603BAE"/>
    <w:rsid w:val="00613472"/>
    <w:rsid w:val="00616EBC"/>
    <w:rsid w:val="00620E2E"/>
    <w:rsid w:val="00627BCF"/>
    <w:rsid w:val="00692CD5"/>
    <w:rsid w:val="006963A3"/>
    <w:rsid w:val="006A0A7A"/>
    <w:rsid w:val="006A2298"/>
    <w:rsid w:val="006B1C2D"/>
    <w:rsid w:val="006C2221"/>
    <w:rsid w:val="006D1CDE"/>
    <w:rsid w:val="006F1B7F"/>
    <w:rsid w:val="006F37DA"/>
    <w:rsid w:val="006F6FFE"/>
    <w:rsid w:val="00707DCD"/>
    <w:rsid w:val="00726390"/>
    <w:rsid w:val="00726FD2"/>
    <w:rsid w:val="00732EA5"/>
    <w:rsid w:val="00742169"/>
    <w:rsid w:val="0074449E"/>
    <w:rsid w:val="00746933"/>
    <w:rsid w:val="0075548C"/>
    <w:rsid w:val="007568B2"/>
    <w:rsid w:val="00781DD2"/>
    <w:rsid w:val="007928A8"/>
    <w:rsid w:val="007A4D24"/>
    <w:rsid w:val="007A5515"/>
    <w:rsid w:val="007A57A0"/>
    <w:rsid w:val="007B400D"/>
    <w:rsid w:val="007D437F"/>
    <w:rsid w:val="007D7A18"/>
    <w:rsid w:val="008127C4"/>
    <w:rsid w:val="00817011"/>
    <w:rsid w:val="00826B73"/>
    <w:rsid w:val="00833DEF"/>
    <w:rsid w:val="008361DB"/>
    <w:rsid w:val="008362CD"/>
    <w:rsid w:val="00853B19"/>
    <w:rsid w:val="008605D1"/>
    <w:rsid w:val="00862732"/>
    <w:rsid w:val="00862EFA"/>
    <w:rsid w:val="00863099"/>
    <w:rsid w:val="00874328"/>
    <w:rsid w:val="008754D2"/>
    <w:rsid w:val="00880428"/>
    <w:rsid w:val="00881B37"/>
    <w:rsid w:val="00881DA2"/>
    <w:rsid w:val="00886545"/>
    <w:rsid w:val="00894880"/>
    <w:rsid w:val="00895CB1"/>
    <w:rsid w:val="008A29ED"/>
    <w:rsid w:val="008B317D"/>
    <w:rsid w:val="008B4579"/>
    <w:rsid w:val="008C0DA5"/>
    <w:rsid w:val="008E150C"/>
    <w:rsid w:val="008E16EA"/>
    <w:rsid w:val="008E53D6"/>
    <w:rsid w:val="008F348F"/>
    <w:rsid w:val="008F4B83"/>
    <w:rsid w:val="008F6F1D"/>
    <w:rsid w:val="00905731"/>
    <w:rsid w:val="00922593"/>
    <w:rsid w:val="0093043C"/>
    <w:rsid w:val="00932295"/>
    <w:rsid w:val="00936F7A"/>
    <w:rsid w:val="009378B8"/>
    <w:rsid w:val="009402DB"/>
    <w:rsid w:val="00940F47"/>
    <w:rsid w:val="00945723"/>
    <w:rsid w:val="00983A4A"/>
    <w:rsid w:val="00990871"/>
    <w:rsid w:val="00994007"/>
    <w:rsid w:val="009A2823"/>
    <w:rsid w:val="009A4CC2"/>
    <w:rsid w:val="009A573D"/>
    <w:rsid w:val="009B1D38"/>
    <w:rsid w:val="009E042D"/>
    <w:rsid w:val="009E2B63"/>
    <w:rsid w:val="009E69AF"/>
    <w:rsid w:val="00A03192"/>
    <w:rsid w:val="00A04DEF"/>
    <w:rsid w:val="00A12558"/>
    <w:rsid w:val="00A32F3C"/>
    <w:rsid w:val="00A33328"/>
    <w:rsid w:val="00A34768"/>
    <w:rsid w:val="00A3646B"/>
    <w:rsid w:val="00A41DD5"/>
    <w:rsid w:val="00A53A94"/>
    <w:rsid w:val="00A6100A"/>
    <w:rsid w:val="00A80255"/>
    <w:rsid w:val="00A8445B"/>
    <w:rsid w:val="00A920F8"/>
    <w:rsid w:val="00A92379"/>
    <w:rsid w:val="00AB24AD"/>
    <w:rsid w:val="00AB79BE"/>
    <w:rsid w:val="00AC32E6"/>
    <w:rsid w:val="00AC41B7"/>
    <w:rsid w:val="00AD40C4"/>
    <w:rsid w:val="00AF6204"/>
    <w:rsid w:val="00B10BD2"/>
    <w:rsid w:val="00B20D54"/>
    <w:rsid w:val="00B24942"/>
    <w:rsid w:val="00B27EBD"/>
    <w:rsid w:val="00B34606"/>
    <w:rsid w:val="00B3726E"/>
    <w:rsid w:val="00B43747"/>
    <w:rsid w:val="00B47C34"/>
    <w:rsid w:val="00B611C5"/>
    <w:rsid w:val="00B7154C"/>
    <w:rsid w:val="00B7200F"/>
    <w:rsid w:val="00B72341"/>
    <w:rsid w:val="00B81DAF"/>
    <w:rsid w:val="00B83EC0"/>
    <w:rsid w:val="00B85116"/>
    <w:rsid w:val="00B90A80"/>
    <w:rsid w:val="00B9211C"/>
    <w:rsid w:val="00B93B59"/>
    <w:rsid w:val="00B9776E"/>
    <w:rsid w:val="00BB3165"/>
    <w:rsid w:val="00BB7C53"/>
    <w:rsid w:val="00BC60AB"/>
    <w:rsid w:val="00BE02E7"/>
    <w:rsid w:val="00BE1093"/>
    <w:rsid w:val="00BF7958"/>
    <w:rsid w:val="00BF7B67"/>
    <w:rsid w:val="00C07060"/>
    <w:rsid w:val="00C112D7"/>
    <w:rsid w:val="00C16B40"/>
    <w:rsid w:val="00C37AAB"/>
    <w:rsid w:val="00C61FF1"/>
    <w:rsid w:val="00C66694"/>
    <w:rsid w:val="00C7419B"/>
    <w:rsid w:val="00C76692"/>
    <w:rsid w:val="00C76EF0"/>
    <w:rsid w:val="00C85FF0"/>
    <w:rsid w:val="00C92D97"/>
    <w:rsid w:val="00CA421F"/>
    <w:rsid w:val="00CD22F6"/>
    <w:rsid w:val="00CE7E4E"/>
    <w:rsid w:val="00CF52D4"/>
    <w:rsid w:val="00D002AE"/>
    <w:rsid w:val="00D0124C"/>
    <w:rsid w:val="00D01A5E"/>
    <w:rsid w:val="00D0558D"/>
    <w:rsid w:val="00D06D83"/>
    <w:rsid w:val="00D105A5"/>
    <w:rsid w:val="00D10978"/>
    <w:rsid w:val="00D22B48"/>
    <w:rsid w:val="00D2589B"/>
    <w:rsid w:val="00D3220D"/>
    <w:rsid w:val="00D3441F"/>
    <w:rsid w:val="00D35020"/>
    <w:rsid w:val="00D54DC9"/>
    <w:rsid w:val="00D57272"/>
    <w:rsid w:val="00D658B0"/>
    <w:rsid w:val="00D75FD2"/>
    <w:rsid w:val="00D84DB6"/>
    <w:rsid w:val="00D8739C"/>
    <w:rsid w:val="00D96243"/>
    <w:rsid w:val="00D966D0"/>
    <w:rsid w:val="00DB250B"/>
    <w:rsid w:val="00DB7339"/>
    <w:rsid w:val="00DC166C"/>
    <w:rsid w:val="00DC4C79"/>
    <w:rsid w:val="00DD3769"/>
    <w:rsid w:val="00DF3DD7"/>
    <w:rsid w:val="00E12420"/>
    <w:rsid w:val="00E16878"/>
    <w:rsid w:val="00E5024D"/>
    <w:rsid w:val="00E71B19"/>
    <w:rsid w:val="00E91064"/>
    <w:rsid w:val="00E96120"/>
    <w:rsid w:val="00EA2E05"/>
    <w:rsid w:val="00EB1A36"/>
    <w:rsid w:val="00EB4292"/>
    <w:rsid w:val="00EC39EE"/>
    <w:rsid w:val="00ED245B"/>
    <w:rsid w:val="00EE1C6F"/>
    <w:rsid w:val="00EE1FBD"/>
    <w:rsid w:val="00EE5A19"/>
    <w:rsid w:val="00EF011E"/>
    <w:rsid w:val="00EF77F5"/>
    <w:rsid w:val="00F11E6D"/>
    <w:rsid w:val="00F12AEA"/>
    <w:rsid w:val="00F238C0"/>
    <w:rsid w:val="00F321BD"/>
    <w:rsid w:val="00F40088"/>
    <w:rsid w:val="00F556EA"/>
    <w:rsid w:val="00F60A4E"/>
    <w:rsid w:val="00F64B86"/>
    <w:rsid w:val="00F66E35"/>
    <w:rsid w:val="00F72DD8"/>
    <w:rsid w:val="00F8163F"/>
    <w:rsid w:val="00F824BD"/>
    <w:rsid w:val="00F875EC"/>
    <w:rsid w:val="00F9386E"/>
    <w:rsid w:val="00FA371F"/>
    <w:rsid w:val="00FA497F"/>
    <w:rsid w:val="00FB5EBB"/>
    <w:rsid w:val="00FB6892"/>
    <w:rsid w:val="00FB7695"/>
    <w:rsid w:val="00FC4D16"/>
    <w:rsid w:val="00FE208C"/>
    <w:rsid w:val="00FE290D"/>
    <w:rsid w:val="00FE4965"/>
    <w:rsid w:val="00FF1E08"/>
    <w:rsid w:val="00FF6003"/>
    <w:rsid w:val="14D93F13"/>
    <w:rsid w:val="169F3CA1"/>
    <w:rsid w:val="170B0429"/>
    <w:rsid w:val="18890B1D"/>
    <w:rsid w:val="1B157361"/>
    <w:rsid w:val="1BBB5CE3"/>
    <w:rsid w:val="1F0357D9"/>
    <w:rsid w:val="29AE76C7"/>
    <w:rsid w:val="2B3354BC"/>
    <w:rsid w:val="2FC6654B"/>
    <w:rsid w:val="320371AF"/>
    <w:rsid w:val="383A6508"/>
    <w:rsid w:val="3ADE363A"/>
    <w:rsid w:val="3F4F7A94"/>
    <w:rsid w:val="40C4346A"/>
    <w:rsid w:val="41DB4F23"/>
    <w:rsid w:val="4DD272BF"/>
    <w:rsid w:val="5E845DF2"/>
    <w:rsid w:val="5F8425C3"/>
    <w:rsid w:val="659F08F8"/>
    <w:rsid w:val="6730025C"/>
    <w:rsid w:val="6BEC51E6"/>
    <w:rsid w:val="73B72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0"/>
    <w:pPr>
      <w:jc w:val="left"/>
    </w:pPr>
  </w:style>
  <w:style w:type="paragraph" w:styleId="3">
    <w:name w:val="Balloon Text"/>
    <w:basedOn w:val="1"/>
    <w:link w:val="14"/>
    <w:qFormat/>
    <w:uiPriority w:val="0"/>
    <w:rPr>
      <w:sz w:val="18"/>
      <w:szCs w:val="18"/>
    </w:rPr>
  </w:style>
  <w:style w:type="paragraph" w:styleId="4">
    <w:name w:val="footer"/>
    <w:basedOn w:val="1"/>
    <w:link w:val="13"/>
    <w:qFormat/>
    <w:uiPriority w:val="99"/>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7"/>
    <w:semiHidden/>
    <w:unhideWhenUsed/>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semiHidden/>
    <w:unhideWhenUsed/>
    <w:qFormat/>
    <w:uiPriority w:val="99"/>
    <w:rPr>
      <w:color w:val="0000FF"/>
      <w:u w:val="single"/>
    </w:rPr>
  </w:style>
  <w:style w:type="character" w:styleId="11">
    <w:name w:val="annotation reference"/>
    <w:basedOn w:val="9"/>
    <w:semiHidden/>
    <w:unhideWhenUsed/>
    <w:qFormat/>
    <w:uiPriority w:val="0"/>
    <w:rPr>
      <w:sz w:val="21"/>
      <w:szCs w:val="21"/>
    </w:rPr>
  </w:style>
  <w:style w:type="character" w:customStyle="1" w:styleId="12">
    <w:name w:val="页眉 字符"/>
    <w:basedOn w:val="9"/>
    <w:link w:val="5"/>
    <w:qFormat/>
    <w:uiPriority w:val="0"/>
    <w:rPr>
      <w:rFonts w:asciiTheme="minorHAnsi" w:hAnsiTheme="minorHAnsi" w:eastAsiaTheme="minorEastAsia" w:cstheme="minorBidi"/>
      <w:kern w:val="2"/>
      <w:sz w:val="18"/>
      <w:szCs w:val="18"/>
    </w:rPr>
  </w:style>
  <w:style w:type="character" w:customStyle="1" w:styleId="13">
    <w:name w:val="页脚 字符"/>
    <w:basedOn w:val="9"/>
    <w:link w:val="4"/>
    <w:qFormat/>
    <w:uiPriority w:val="99"/>
    <w:rPr>
      <w:rFonts w:asciiTheme="minorHAnsi" w:hAnsiTheme="minorHAnsi" w:eastAsiaTheme="minorEastAsia" w:cstheme="minorBidi"/>
      <w:kern w:val="2"/>
      <w:sz w:val="18"/>
      <w:szCs w:val="18"/>
    </w:rPr>
  </w:style>
  <w:style w:type="character" w:customStyle="1" w:styleId="14">
    <w:name w:val="批注框文本 字符"/>
    <w:basedOn w:val="9"/>
    <w:link w:val="3"/>
    <w:qFormat/>
    <w:uiPriority w:val="0"/>
    <w:rPr>
      <w:rFonts w:asciiTheme="minorHAnsi" w:hAnsiTheme="minorHAnsi" w:eastAsiaTheme="minorEastAsia" w:cstheme="minorBidi"/>
      <w:kern w:val="2"/>
      <w:sz w:val="18"/>
      <w:szCs w:val="18"/>
    </w:rPr>
  </w:style>
  <w:style w:type="paragraph" w:styleId="15">
    <w:name w:val="List Paragraph"/>
    <w:basedOn w:val="1"/>
    <w:unhideWhenUsed/>
    <w:qFormat/>
    <w:uiPriority w:val="99"/>
    <w:pPr>
      <w:ind w:firstLine="420" w:firstLineChars="200"/>
    </w:pPr>
  </w:style>
  <w:style w:type="character" w:customStyle="1" w:styleId="16">
    <w:name w:val="批注文字 字符"/>
    <w:basedOn w:val="9"/>
    <w:link w:val="2"/>
    <w:semiHidden/>
    <w:qFormat/>
    <w:uiPriority w:val="0"/>
    <w:rPr>
      <w:rFonts w:asciiTheme="minorHAnsi" w:hAnsiTheme="minorHAnsi" w:eastAsiaTheme="minorEastAsia" w:cstheme="minorBidi"/>
      <w:kern w:val="2"/>
      <w:sz w:val="21"/>
      <w:szCs w:val="24"/>
    </w:rPr>
  </w:style>
  <w:style w:type="character" w:customStyle="1" w:styleId="17">
    <w:name w:val="批注主题 字符"/>
    <w:basedOn w:val="16"/>
    <w:link w:val="6"/>
    <w:semiHidden/>
    <w:qFormat/>
    <w:uiPriority w:val="0"/>
    <w:rPr>
      <w:rFonts w:asciiTheme="minorHAnsi" w:hAnsiTheme="minorHAnsi" w:eastAsiaTheme="minorEastAsia" w:cstheme="minorBidi"/>
      <w:b/>
      <w:bCs/>
      <w:kern w:val="2"/>
      <w:sz w:val="21"/>
      <w:szCs w:val="24"/>
    </w:rPr>
  </w:style>
  <w:style w:type="paragraph" w:customStyle="1" w:styleId="18">
    <w:name w:val="修订1"/>
    <w:hidden/>
    <w:semiHidden/>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14</Pages>
  <Words>4968</Words>
  <Characters>5040</Characters>
  <Lines>38</Lines>
  <Paragraphs>10</Paragraphs>
  <TotalTime>14</TotalTime>
  <ScaleCrop>false</ScaleCrop>
  <LinksUpToDate>false</LinksUpToDate>
  <CharactersWithSpaces>5159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2023-10-27T00:59:00Z</dcterms:created>
  <dc:creator>Jessica</dc:creator>
  <cp:lastModifiedBy>ZJ</cp:lastModifiedBy>
  <dcterms:modified xsi:type="dcterms:W3CDTF">2026-04-08T06:32:46Z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EAEDCB5409C044DA92A2E672A3B0052F</vt:lpwstr>
  </property>
  <property fmtid="{D5CDD505-2E9C-101B-9397-08002B2CF9AE}" pid="4" name="KSOTemplateDocerSaveRecord">
    <vt:lpwstr>eyJoZGlkIjoiZmNkZDg0ZjNmZWQwZWFiODFjYzgyNWU1YTllNWRkN2EiLCJ1c2VySWQiOiIzNzA5MjQ1NTEifQ==</vt:lpwstr>
  </property>
</Properties>
</file>