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ascii="仿宋" w:hAnsi="仿宋" w:eastAsia="仿宋" w:cs="仿宋"/>
          <w:b/>
          <w:bCs/>
          <w:color w:val="auto"/>
          <w:spacing w:val="-10"/>
          <w:sz w:val="44"/>
          <w:szCs w:val="44"/>
        </w:rPr>
      </w:pPr>
      <w:bookmarkStart w:id="0" w:name="_Toc16809"/>
      <w:bookmarkStart w:id="1" w:name="_Toc20096"/>
      <w:bookmarkStart w:id="2" w:name="_Toc11192"/>
      <w:bookmarkStart w:id="3" w:name="_Toc9533"/>
      <w:bookmarkStart w:id="4" w:name="_Toc8089"/>
      <w:r>
        <w:rPr>
          <w:rFonts w:hint="eastAsia" w:ascii="仿宋" w:hAnsi="仿宋" w:eastAsia="仿宋" w:cs="仿宋"/>
          <w:b/>
          <w:bCs/>
          <w:color w:val="auto"/>
          <w:sz w:val="44"/>
          <w:szCs w:val="44"/>
        </w:rPr>
        <w:t>中国海洋大学海洋地球科学学院优秀本科学生奖学金</w:t>
      </w:r>
      <w:bookmarkEnd w:id="0"/>
      <w:bookmarkEnd w:id="1"/>
      <w:bookmarkEnd w:id="2"/>
      <w:bookmarkEnd w:id="3"/>
      <w:bookmarkEnd w:id="4"/>
      <w:r>
        <w:rPr>
          <w:rFonts w:hint="eastAsia" w:ascii="仿宋" w:hAnsi="仿宋" w:eastAsia="仿宋" w:cs="仿宋"/>
          <w:b/>
          <w:bCs/>
          <w:color w:val="auto"/>
          <w:sz w:val="44"/>
          <w:szCs w:val="44"/>
        </w:rPr>
        <w:t>管理办法</w:t>
      </w:r>
      <w:r>
        <w:rPr>
          <w:rFonts w:hint="eastAsia" w:ascii="仿宋" w:hAnsi="仿宋" w:eastAsia="仿宋" w:cs="仿宋"/>
          <w:b/>
          <w:bCs/>
          <w:color w:val="auto"/>
          <w:spacing w:val="-10"/>
          <w:sz w:val="44"/>
          <w:szCs w:val="44"/>
        </w:rPr>
        <w:t>（试行）</w:t>
      </w:r>
    </w:p>
    <w:p>
      <w:pPr>
        <w:spacing w:line="500" w:lineRule="exact"/>
        <w:ind w:firstLine="320" w:firstLineChars="100"/>
        <w:rPr>
          <w:rFonts w:ascii="仿宋" w:hAnsi="仿宋" w:eastAsia="仿宋" w:cs="仿宋"/>
          <w:color w:val="auto"/>
          <w:sz w:val="44"/>
          <w:szCs w:val="44"/>
        </w:rPr>
      </w:pP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第一条</w:t>
      </w: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 xml:space="preserve"> 为鼓励学生德智体美劳全面发展，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实现学校人才培养目标，结合</w:t>
      </w: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学院实际，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制定本办法。</w:t>
      </w:r>
    </w:p>
    <w:p>
      <w:pPr>
        <w:pStyle w:val="11"/>
        <w:spacing w:before="0" w:beforeAutospacing="0" w:after="0" w:afterAutospacing="0" w:line="500" w:lineRule="exact"/>
        <w:ind w:firstLine="643" w:firstLineChars="200"/>
        <w:jc w:val="both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color w:val="auto"/>
          <w:sz w:val="32"/>
          <w:szCs w:val="32"/>
        </w:rPr>
        <w:t>第二条</w:t>
      </w: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本办法适用于在中国</w:t>
      </w:r>
      <w:r>
        <w:rPr>
          <w:rFonts w:ascii="仿宋" w:hAnsi="仿宋" w:eastAsia="仿宋" w:cs="仿宋"/>
          <w:color w:val="auto"/>
          <w:sz w:val="32"/>
          <w:szCs w:val="32"/>
        </w:rPr>
        <w:t>海洋大学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海洋地球科学学院接受普通高等学历教育的全日制本科学生（以下简称“学生”）。</w:t>
      </w:r>
    </w:p>
    <w:p>
      <w:pPr>
        <w:pStyle w:val="11"/>
        <w:spacing w:before="0" w:beforeAutospacing="0" w:after="0" w:afterAutospacing="0" w:line="500" w:lineRule="exact"/>
        <w:ind w:firstLine="598" w:firstLineChars="186"/>
        <w:jc w:val="both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第三条</w:t>
      </w: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优秀本科学生奖学金包括综合类奖学金和单项类奖学金。</w:t>
      </w:r>
    </w:p>
    <w:p>
      <w:pPr>
        <w:spacing w:line="500" w:lineRule="exact"/>
        <w:ind w:firstLine="627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color w:val="auto"/>
          <w:sz w:val="32"/>
          <w:szCs w:val="32"/>
        </w:rPr>
        <w:t>第四条</w:t>
      </w: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综合类奖学金用于奖励表现优秀、全面发展的学生，包括杰出学生奖学金和一等、二等、三等奖学金。</w:t>
      </w:r>
    </w:p>
    <w:p>
      <w:pPr>
        <w:spacing w:line="500" w:lineRule="exact"/>
        <w:ind w:firstLine="627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（一）杰出学生奖学金每学年全校获奖人数一般为10人，由学校统一组织评审，奖励标准为8000元/人；</w:t>
      </w:r>
    </w:p>
    <w:p>
      <w:pPr>
        <w:spacing w:line="500" w:lineRule="exact"/>
        <w:ind w:firstLine="627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（二）一等奖学金获奖比例不超过当学年全院参评学生总人数的5%，奖励标准为3000元/人；</w:t>
      </w:r>
    </w:p>
    <w:p>
      <w:pPr>
        <w:spacing w:line="500" w:lineRule="exact"/>
        <w:ind w:firstLine="627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（三）二等奖学金获奖比例不超过当学年全院参评学生总人数的10%，奖励标准为2000元/人；</w:t>
      </w:r>
    </w:p>
    <w:p>
      <w:pPr>
        <w:spacing w:line="500" w:lineRule="exact"/>
        <w:ind w:firstLine="627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（四）三等奖学金获奖比例不超过当学年全院参评学生总人数的20%，奖励标准为1000元/人。</w:t>
      </w:r>
    </w:p>
    <w:p>
      <w:pPr>
        <w:spacing w:line="500" w:lineRule="exact"/>
        <w:ind w:firstLine="643" w:firstLineChars="200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color w:val="auto"/>
          <w:sz w:val="32"/>
          <w:szCs w:val="32"/>
        </w:rPr>
        <w:t>第五条</w:t>
      </w: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单项类奖学金用于奖励在学习学业方面取得较大进步或在文体活动、社会实践、创新创业等方面表现优秀的学生，包括学习进步奖学金、文体活动奖学金、社会实践奖学金、创新创业奖学金等。</w:t>
      </w:r>
    </w:p>
    <w:p>
      <w:pPr>
        <w:spacing w:line="500" w:lineRule="exact"/>
        <w:ind w:firstLine="640" w:firstLineChars="200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单项类奖学金总获奖比例不超过当学年全校参评学生总人数的10%，奖励标准为1000元/人。</w:t>
      </w:r>
    </w:p>
    <w:p>
      <w:pPr>
        <w:spacing w:line="500" w:lineRule="exact"/>
        <w:ind w:firstLine="643" w:firstLineChars="200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color w:val="auto"/>
          <w:sz w:val="32"/>
          <w:szCs w:val="32"/>
        </w:rPr>
        <w:t>第六条</w:t>
      </w: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学生申请优秀本科学生奖学金，除应具备《中国海洋大学本科学生奖学金评审办法（试行）》所规定的学生奖学金评审的基本条件外，还需具备以下条件：</w:t>
      </w:r>
    </w:p>
    <w:p>
      <w:pPr>
        <w:spacing w:line="500" w:lineRule="exact"/>
        <w:ind w:firstLine="640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（一）综合类奖学金：</w:t>
      </w:r>
    </w:p>
    <w:p>
      <w:pPr>
        <w:spacing w:line="500" w:lineRule="exact"/>
        <w:ind w:firstLine="640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1.杰出学生奖学金：当学年学生素质综合测评成绩排名班级（专业）前5%；</w:t>
      </w:r>
    </w:p>
    <w:p>
      <w:pPr>
        <w:spacing w:line="500" w:lineRule="exact"/>
        <w:ind w:firstLine="640" w:firstLineChars="200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2.一等、二等、三等奖学金：当学年学生素质综合测评成绩排名班级（专业）前50%。</w:t>
      </w:r>
    </w:p>
    <w:p>
      <w:pPr>
        <w:spacing w:line="500" w:lineRule="exact"/>
        <w:ind w:firstLine="640" w:firstLineChars="200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（二）单项类奖学金：</w:t>
      </w:r>
    </w:p>
    <w:p>
      <w:pPr>
        <w:spacing w:line="500" w:lineRule="exact"/>
        <w:ind w:firstLine="640" w:firstLineChars="200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1. 学习进步奖学金：学习成绩取得较大进步；</w:t>
      </w:r>
    </w:p>
    <w:p>
      <w:pPr>
        <w:spacing w:line="500" w:lineRule="exact"/>
        <w:ind w:firstLine="640" w:firstLineChars="200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2. 文体活动奖学金：在各类文艺体育活动中取得突出成绩，当学年未获得学校艺术类体育类比赛优胜奖学金；</w:t>
      </w:r>
    </w:p>
    <w:p>
      <w:pPr>
        <w:numPr>
          <w:ilvl w:val="0"/>
          <w:numId w:val="1"/>
        </w:numPr>
        <w:spacing w:line="500" w:lineRule="exact"/>
        <w:ind w:firstLine="640" w:firstLineChars="200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社会实践奖学金：在各类社会实践、志愿服务等活动和社会工作中取得突出成绩。</w:t>
      </w:r>
    </w:p>
    <w:p>
      <w:pPr>
        <w:numPr>
          <w:ilvl w:val="0"/>
          <w:numId w:val="1"/>
        </w:numPr>
        <w:spacing w:line="500" w:lineRule="exact"/>
        <w:ind w:firstLine="640" w:firstLineChars="200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创新创业奖学金：在各类科研学术、创新创业等活动中取得突出成绩。</w:t>
      </w:r>
    </w:p>
    <w:p>
      <w:pPr>
        <w:spacing w:line="500" w:lineRule="exact"/>
        <w:ind w:firstLine="643" w:firstLineChars="200"/>
        <w:rPr>
          <w:rFonts w:ascii="仿宋" w:hAnsi="仿宋" w:eastAsia="仿宋" w:cs="仿宋"/>
          <w:color w:val="FF0000"/>
          <w:sz w:val="32"/>
          <w:szCs w:val="32"/>
        </w:rPr>
      </w:pPr>
      <w:r>
        <w:rPr>
          <w:rFonts w:hint="eastAsia" w:ascii="仿宋" w:hAnsi="仿宋" w:eastAsia="仿宋" w:cs="仿宋"/>
          <w:b/>
          <w:color w:val="FF0000"/>
          <w:sz w:val="32"/>
          <w:szCs w:val="32"/>
        </w:rPr>
        <w:t xml:space="preserve">第七条 </w:t>
      </w:r>
      <w:r>
        <w:rPr>
          <w:rFonts w:hint="eastAsia" w:ascii="仿宋" w:hAnsi="仿宋" w:eastAsia="仿宋" w:cs="仿宋"/>
          <w:bCs/>
          <w:color w:val="FF0000"/>
          <w:kern w:val="0"/>
          <w:sz w:val="32"/>
          <w:szCs w:val="32"/>
        </w:rPr>
        <w:t>优秀本科学生奖学金一般按照 “总量控制，动态分配”的原则，由学校按比例将奖学金总额度分配至学院，</w:t>
      </w:r>
      <w:r>
        <w:rPr>
          <w:rFonts w:hint="eastAsia" w:ascii="仿宋" w:hAnsi="仿宋" w:eastAsia="仿宋" w:cs="仿宋"/>
          <w:color w:val="FF0000"/>
          <w:sz w:val="32"/>
          <w:szCs w:val="32"/>
        </w:rPr>
        <w:t>学院按比例将奖学金总额度分配至班级。班</w:t>
      </w:r>
      <w:bookmarkStart w:id="5" w:name="_GoBack"/>
      <w:bookmarkEnd w:id="5"/>
      <w:r>
        <w:rPr>
          <w:rFonts w:hint="eastAsia" w:ascii="仿宋" w:hAnsi="仿宋" w:eastAsia="仿宋" w:cs="仿宋"/>
          <w:color w:val="FF0000"/>
          <w:sz w:val="32"/>
          <w:szCs w:val="32"/>
        </w:rPr>
        <w:t>级评定方式可自主决定，鼓励班级采取公开答辩等方式对学生各方面表现进行综合评定。</w:t>
      </w:r>
    </w:p>
    <w:p>
      <w:pPr>
        <w:pStyle w:val="6"/>
        <w:spacing w:line="500" w:lineRule="exact"/>
        <w:ind w:firstLine="645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color w:val="auto"/>
          <w:sz w:val="32"/>
          <w:szCs w:val="32"/>
        </w:rPr>
        <w:t>第八条</w:t>
      </w: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优秀本科学生奖学金评审工作一般在每学年夏秋季学期集中进行，评审按照《中国海洋大学本科学生奖学金评审办法（试行）》规定的相关程序进行。</w:t>
      </w:r>
    </w:p>
    <w:p>
      <w:pPr>
        <w:pStyle w:val="6"/>
        <w:spacing w:line="500" w:lineRule="exact"/>
        <w:ind w:firstLine="645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color w:val="auto"/>
          <w:sz w:val="32"/>
          <w:szCs w:val="32"/>
        </w:rPr>
        <w:t>第九条</w:t>
      </w: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优秀本科学生奖学金评审以学生素质综合测评为基础，实行自主申报，分级评审。</w:t>
      </w:r>
    </w:p>
    <w:p>
      <w:pPr>
        <w:pStyle w:val="6"/>
        <w:spacing w:line="500" w:lineRule="exact"/>
        <w:ind w:firstLine="645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 xml:space="preserve">第十条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学院按照学校分配的总额度，可根据具体情况，对单项奖学金的设置进行适当调配。</w:t>
      </w:r>
    </w:p>
    <w:p>
      <w:pPr>
        <w:pStyle w:val="6"/>
        <w:spacing w:line="500" w:lineRule="exact"/>
        <w:ind w:firstLine="646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color w:val="auto"/>
          <w:sz w:val="32"/>
          <w:szCs w:val="32"/>
        </w:rPr>
        <w:t>第十一条</w:t>
      </w: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优秀本科学生奖学金评审遵循“鼓励全面发展、尊重个性发展”的原则，综合类奖学金与单项类奖学金一般不可兼得。</w:t>
      </w:r>
    </w:p>
    <w:p>
      <w:pPr>
        <w:pStyle w:val="6"/>
        <w:spacing w:line="500" w:lineRule="exact"/>
        <w:ind w:firstLine="645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color w:val="auto"/>
          <w:sz w:val="32"/>
          <w:szCs w:val="32"/>
        </w:rPr>
        <w:t>第十二条</w:t>
      </w: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优秀本科学生奖学金直接发放到学生个人账户，并由学校发文表彰，颁发荣誉证书。</w:t>
      </w:r>
    </w:p>
    <w:p>
      <w:pPr>
        <w:spacing w:line="500" w:lineRule="exact"/>
        <w:ind w:firstLine="643" w:firstLineChars="200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color w:val="auto"/>
          <w:sz w:val="32"/>
          <w:szCs w:val="32"/>
        </w:rPr>
        <w:t>第十三条</w:t>
      </w: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港澳台侨学生、留学生可参照本办法执行。</w:t>
      </w:r>
    </w:p>
    <w:p>
      <w:pPr>
        <w:pStyle w:val="11"/>
        <w:spacing w:before="0" w:beforeAutospacing="0" w:after="0" w:afterAutospacing="0" w:line="500" w:lineRule="exact"/>
        <w:ind w:firstLine="643" w:firstLineChars="200"/>
        <w:jc w:val="both"/>
        <w:rPr>
          <w:rFonts w:ascii="仿宋" w:hAnsi="仿宋" w:eastAsia="仿宋" w:cs="仿宋"/>
          <w:color w:val="auto"/>
          <w:kern w:val="2"/>
          <w:sz w:val="32"/>
          <w:szCs w:val="32"/>
        </w:rPr>
      </w:pPr>
      <w:r>
        <w:rPr>
          <w:rFonts w:hint="eastAsia" w:ascii="仿宋" w:hAnsi="仿宋" w:eastAsia="仿宋" w:cs="仿宋"/>
          <w:b/>
          <w:color w:val="auto"/>
          <w:sz w:val="32"/>
          <w:szCs w:val="32"/>
        </w:rPr>
        <w:t>第十四条</w:t>
      </w: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本办法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</w:rPr>
        <w:t>自</w:t>
      </w:r>
      <w:r>
        <w:rPr>
          <w:rFonts w:ascii="仿宋" w:hAnsi="仿宋" w:eastAsia="仿宋" w:cs="仿宋"/>
          <w:color w:val="auto"/>
          <w:kern w:val="2"/>
          <w:sz w:val="32"/>
          <w:szCs w:val="32"/>
        </w:rPr>
        <w:t>2021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</w:rPr>
        <w:t>年</w:t>
      </w:r>
      <w:r>
        <w:rPr>
          <w:rFonts w:ascii="仿宋" w:hAnsi="仿宋" w:eastAsia="仿宋" w:cs="仿宋"/>
          <w:color w:val="auto"/>
          <w:kern w:val="2"/>
          <w:sz w:val="32"/>
          <w:szCs w:val="32"/>
        </w:rPr>
        <w:t>5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</w:rPr>
        <w:t>月1日起执行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，由海洋地球科学学院党委负责解释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</w:rPr>
        <w:t>。</w:t>
      </w:r>
    </w:p>
    <w:p>
      <w:pPr>
        <w:pStyle w:val="6"/>
        <w:rPr>
          <w:rFonts w:ascii="仿宋" w:hAnsi="仿宋" w:eastAsia="仿宋" w:cs="仿宋"/>
          <w:sz w:val="32"/>
          <w:szCs w:val="32"/>
        </w:rPr>
      </w:pPr>
    </w:p>
    <w:p>
      <w:pPr>
        <w:pStyle w:val="6"/>
        <w:jc w:val="righ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海洋地球科学学院</w:t>
      </w:r>
    </w:p>
    <w:p>
      <w:pPr>
        <w:pStyle w:val="6"/>
        <w:jc w:val="righ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</w:t>
      </w:r>
      <w:r>
        <w:rPr>
          <w:rFonts w:ascii="仿宋" w:hAnsi="仿宋" w:eastAsia="仿宋" w:cs="仿宋"/>
          <w:sz w:val="32"/>
          <w:szCs w:val="32"/>
        </w:rPr>
        <w:t>21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ascii="仿宋" w:hAnsi="仿宋" w:eastAsia="仿宋" w:cs="仿宋"/>
          <w:sz w:val="32"/>
          <w:szCs w:val="32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月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8F4D88E"/>
    <w:multiLevelType w:val="singleLevel"/>
    <w:tmpl w:val="48F4D88E"/>
    <w:lvl w:ilvl="0" w:tentative="0">
      <w:start w:val="3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7465B6C"/>
    <w:rsid w:val="000870AB"/>
    <w:rsid w:val="000979E5"/>
    <w:rsid w:val="0016799D"/>
    <w:rsid w:val="00225CC3"/>
    <w:rsid w:val="003225A0"/>
    <w:rsid w:val="003D3684"/>
    <w:rsid w:val="004942DC"/>
    <w:rsid w:val="0054404C"/>
    <w:rsid w:val="005645E9"/>
    <w:rsid w:val="0072065E"/>
    <w:rsid w:val="007E11B9"/>
    <w:rsid w:val="008B16E0"/>
    <w:rsid w:val="00992078"/>
    <w:rsid w:val="009D32A1"/>
    <w:rsid w:val="00B053F1"/>
    <w:rsid w:val="00BB0CB0"/>
    <w:rsid w:val="00CD49D5"/>
    <w:rsid w:val="00D63099"/>
    <w:rsid w:val="00D85053"/>
    <w:rsid w:val="00EE0289"/>
    <w:rsid w:val="00FB0A79"/>
    <w:rsid w:val="063D6222"/>
    <w:rsid w:val="0C422BA5"/>
    <w:rsid w:val="114304D7"/>
    <w:rsid w:val="1808346C"/>
    <w:rsid w:val="4F1D1C96"/>
    <w:rsid w:val="7746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color w:val="000000"/>
      <w:kern w:val="2"/>
      <w:sz w:val="21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uiPriority w:val="0"/>
    <w:pPr>
      <w:jc w:val="left"/>
    </w:pPr>
  </w:style>
  <w:style w:type="paragraph" w:styleId="3">
    <w:name w:val="Balloon Text"/>
    <w:basedOn w:val="1"/>
    <w:link w:val="16"/>
    <w:uiPriority w:val="0"/>
    <w:rPr>
      <w:sz w:val="18"/>
      <w:szCs w:val="18"/>
    </w:rPr>
  </w:style>
  <w:style w:type="paragraph" w:styleId="4">
    <w:name w:val="footer"/>
    <w:basedOn w:val="1"/>
    <w:link w:val="13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rPr>
      <w:sz w:val="24"/>
      <w:szCs w:val="24"/>
    </w:rPr>
  </w:style>
  <w:style w:type="paragraph" w:styleId="7">
    <w:name w:val="annotation subject"/>
    <w:basedOn w:val="2"/>
    <w:next w:val="2"/>
    <w:link w:val="15"/>
    <w:uiPriority w:val="0"/>
    <w:rPr>
      <w:b/>
      <w:bCs/>
    </w:rPr>
  </w:style>
  <w:style w:type="character" w:styleId="10">
    <w:name w:val="annotation reference"/>
    <w:basedOn w:val="9"/>
    <w:uiPriority w:val="0"/>
    <w:rPr>
      <w:sz w:val="21"/>
      <w:szCs w:val="21"/>
    </w:rPr>
  </w:style>
  <w:style w:type="paragraph" w:customStyle="1" w:styleId="11">
    <w:name w:val="_Style 13"/>
    <w:basedOn w:val="1"/>
    <w:next w:val="6"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/>
      <w:kern w:val="0"/>
      <w:sz w:val="24"/>
    </w:rPr>
  </w:style>
  <w:style w:type="character" w:customStyle="1" w:styleId="12">
    <w:name w:val="页眉 字符"/>
    <w:basedOn w:val="9"/>
    <w:link w:val="5"/>
    <w:uiPriority w:val="0"/>
    <w:rPr>
      <w:rFonts w:ascii="Times New Roman" w:hAnsi="Times New Roman"/>
      <w:color w:val="000000"/>
      <w:kern w:val="2"/>
      <w:sz w:val="18"/>
      <w:szCs w:val="18"/>
    </w:rPr>
  </w:style>
  <w:style w:type="character" w:customStyle="1" w:styleId="13">
    <w:name w:val="页脚 字符"/>
    <w:basedOn w:val="9"/>
    <w:link w:val="4"/>
    <w:qFormat/>
    <w:uiPriority w:val="0"/>
    <w:rPr>
      <w:rFonts w:ascii="Times New Roman" w:hAnsi="Times New Roman"/>
      <w:color w:val="000000"/>
      <w:kern w:val="2"/>
      <w:sz w:val="18"/>
      <w:szCs w:val="18"/>
    </w:rPr>
  </w:style>
  <w:style w:type="character" w:customStyle="1" w:styleId="14">
    <w:name w:val="批注文字 字符"/>
    <w:basedOn w:val="9"/>
    <w:link w:val="2"/>
    <w:uiPriority w:val="0"/>
    <w:rPr>
      <w:rFonts w:ascii="Times New Roman" w:hAnsi="Times New Roman"/>
      <w:color w:val="000000"/>
      <w:kern w:val="2"/>
      <w:sz w:val="21"/>
    </w:rPr>
  </w:style>
  <w:style w:type="character" w:customStyle="1" w:styleId="15">
    <w:name w:val="批注主题 字符"/>
    <w:basedOn w:val="14"/>
    <w:link w:val="7"/>
    <w:uiPriority w:val="0"/>
    <w:rPr>
      <w:rFonts w:ascii="Times New Roman" w:hAnsi="Times New Roman"/>
      <w:b/>
      <w:bCs/>
      <w:color w:val="000000"/>
      <w:kern w:val="2"/>
      <w:sz w:val="21"/>
    </w:rPr>
  </w:style>
  <w:style w:type="character" w:customStyle="1" w:styleId="16">
    <w:name w:val="批注框文本 字符"/>
    <w:basedOn w:val="9"/>
    <w:link w:val="3"/>
    <w:uiPriority w:val="0"/>
    <w:rPr>
      <w:rFonts w:ascii="Times New Roman" w:hAnsi="Times New Roman"/>
      <w:color w:val="000000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555E73B-5E54-412B-91BC-5250BBCED36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shenduxitong</Company>
  <Pages>3</Pages>
  <Words>255</Words>
  <Characters>1454</Characters>
  <Lines>12</Lines>
  <Paragraphs>3</Paragraphs>
  <TotalTime>1</TotalTime>
  <ScaleCrop>false</ScaleCrop>
  <LinksUpToDate>false</LinksUpToDate>
  <CharactersWithSpaces>1706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2021-03-22T06:45:00Z</dcterms:created>
  <dc:creator>wkj</dc:creator>
  <cp:lastModifiedBy>ZDZ</cp:lastModifiedBy>
  <dcterms:modified xsi:type="dcterms:W3CDTF">2021-03-29T03:58:51Z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198DEDCB479844A08B3C2623D05D353C</vt:lpwstr>
  </property>
</Properties>
</file>